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DB0D" w14:textId="359A6A6C" w:rsidR="007D284A" w:rsidRPr="003C79EB" w:rsidRDefault="007D284A" w:rsidP="00804E4F">
      <w:pPr>
        <w:jc w:val="both"/>
        <w:rPr>
          <w:rFonts w:ascii="Arial" w:hAnsi="Arial" w:cs="Arial"/>
          <w:b/>
        </w:rPr>
      </w:pPr>
      <w:r w:rsidRPr="003C79EB">
        <w:rPr>
          <w:rFonts w:ascii="Arial" w:hAnsi="Arial" w:cs="Arial"/>
          <w:b/>
        </w:rPr>
        <w:t xml:space="preserve">Věc: </w:t>
      </w:r>
      <w:r w:rsidR="001A1692">
        <w:rPr>
          <w:rFonts w:ascii="Arial" w:hAnsi="Arial" w:cs="Arial"/>
          <w:b/>
        </w:rPr>
        <w:t xml:space="preserve">Tvorba Strategického plánu rozvoje města Ostravy na období </w:t>
      </w:r>
      <w:proofErr w:type="gramStart"/>
      <w:r w:rsidR="001A1692">
        <w:rPr>
          <w:rFonts w:ascii="Arial" w:hAnsi="Arial" w:cs="Arial"/>
          <w:b/>
        </w:rPr>
        <w:t>2024</w:t>
      </w:r>
      <w:r w:rsidR="00F54A56">
        <w:rPr>
          <w:rFonts w:ascii="Arial" w:hAnsi="Arial" w:cs="Arial"/>
          <w:b/>
        </w:rPr>
        <w:t xml:space="preserve"> - </w:t>
      </w:r>
      <w:r w:rsidR="001A1692">
        <w:rPr>
          <w:rFonts w:ascii="Arial" w:hAnsi="Arial" w:cs="Arial"/>
          <w:b/>
        </w:rPr>
        <w:t>2030</w:t>
      </w:r>
      <w:proofErr w:type="gramEnd"/>
      <w:r w:rsidR="00F54A56">
        <w:rPr>
          <w:rFonts w:ascii="Arial" w:hAnsi="Arial" w:cs="Arial"/>
          <w:b/>
        </w:rPr>
        <w:t xml:space="preserve"> a</w:t>
      </w:r>
      <w:r w:rsidR="006A766C">
        <w:rPr>
          <w:rFonts w:ascii="Arial" w:hAnsi="Arial" w:cs="Arial"/>
          <w:b/>
        </w:rPr>
        <w:t> </w:t>
      </w:r>
      <w:r w:rsidR="00F54A56" w:rsidRPr="00F54A56">
        <w:rPr>
          <w:rFonts w:ascii="Arial" w:hAnsi="Arial" w:cs="Arial"/>
          <w:b/>
        </w:rPr>
        <w:t>průběžné vyhodnocení</w:t>
      </w:r>
      <w:r w:rsidR="00F54A56">
        <w:rPr>
          <w:rFonts w:ascii="Arial" w:hAnsi="Arial" w:cs="Arial"/>
          <w:b/>
        </w:rPr>
        <w:t xml:space="preserve"> </w:t>
      </w:r>
      <w:r w:rsidR="00F54A56" w:rsidRPr="00F54A56">
        <w:rPr>
          <w:rFonts w:ascii="Arial" w:hAnsi="Arial" w:cs="Arial"/>
          <w:b/>
        </w:rPr>
        <w:t>Strategického plánu rozvoje města Ostravy na období 2017</w:t>
      </w:r>
      <w:r w:rsidR="00F54A56">
        <w:rPr>
          <w:rFonts w:ascii="Arial" w:hAnsi="Arial" w:cs="Arial"/>
          <w:b/>
        </w:rPr>
        <w:t xml:space="preserve"> - 2</w:t>
      </w:r>
      <w:r w:rsidR="00F54A56" w:rsidRPr="00F54A56">
        <w:rPr>
          <w:rFonts w:ascii="Arial" w:hAnsi="Arial" w:cs="Arial"/>
          <w:b/>
        </w:rPr>
        <w:t>023</w:t>
      </w:r>
    </w:p>
    <w:p w14:paraId="70D26A12" w14:textId="52DA6BE4" w:rsidR="000473D5" w:rsidRPr="003C79EB" w:rsidRDefault="000473D5" w:rsidP="00804E4F">
      <w:pPr>
        <w:jc w:val="both"/>
        <w:rPr>
          <w:rFonts w:ascii="Arial" w:hAnsi="Arial" w:cs="Arial"/>
          <w:b/>
        </w:rPr>
      </w:pPr>
      <w:r w:rsidRPr="003C79EB">
        <w:rPr>
          <w:rFonts w:ascii="Arial" w:hAnsi="Arial" w:cs="Arial"/>
          <w:b/>
        </w:rPr>
        <w:t xml:space="preserve">Důvodová </w:t>
      </w:r>
      <w:r w:rsidR="006B411A" w:rsidRPr="003C79EB">
        <w:rPr>
          <w:rFonts w:ascii="Arial" w:hAnsi="Arial" w:cs="Arial"/>
          <w:b/>
        </w:rPr>
        <w:t>zpráva:</w:t>
      </w:r>
    </w:p>
    <w:p w14:paraId="533C2561" w14:textId="4AF08EA1" w:rsidR="000473D5" w:rsidRPr="00044297" w:rsidRDefault="00A251A8" w:rsidP="00804E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0473D5" w:rsidRPr="00044297">
        <w:rPr>
          <w:rFonts w:ascii="Arial" w:hAnsi="Arial" w:cs="Arial"/>
        </w:rPr>
        <w:t xml:space="preserve"> města j</w:t>
      </w:r>
      <w:r w:rsidR="001A1692" w:rsidRPr="00044297">
        <w:rPr>
          <w:rFonts w:ascii="Arial" w:hAnsi="Arial" w:cs="Arial"/>
        </w:rPr>
        <w:t>sou</w:t>
      </w:r>
      <w:r w:rsidR="000473D5" w:rsidRPr="00044297">
        <w:rPr>
          <w:rFonts w:ascii="Arial" w:hAnsi="Arial" w:cs="Arial"/>
        </w:rPr>
        <w:t xml:space="preserve"> </w:t>
      </w:r>
      <w:r w:rsidR="001A1692" w:rsidRPr="00044297">
        <w:rPr>
          <w:rFonts w:ascii="Arial" w:hAnsi="Arial" w:cs="Arial"/>
        </w:rPr>
        <w:t xml:space="preserve">k projednání </w:t>
      </w:r>
      <w:r w:rsidR="000473D5" w:rsidRPr="00044297">
        <w:rPr>
          <w:rFonts w:ascii="Arial" w:hAnsi="Arial" w:cs="Arial"/>
        </w:rPr>
        <w:t>předkládán</w:t>
      </w:r>
      <w:r w:rsidR="001A1692" w:rsidRPr="00044297">
        <w:rPr>
          <w:rFonts w:ascii="Arial" w:hAnsi="Arial" w:cs="Arial"/>
        </w:rPr>
        <w:t>y</w:t>
      </w:r>
      <w:r w:rsidR="000473D5" w:rsidRPr="00044297">
        <w:rPr>
          <w:rFonts w:ascii="Arial" w:hAnsi="Arial" w:cs="Arial"/>
        </w:rPr>
        <w:t xml:space="preserve"> </w:t>
      </w:r>
      <w:r w:rsidR="001A1692" w:rsidRPr="00044297">
        <w:rPr>
          <w:rFonts w:ascii="Arial" w:hAnsi="Arial" w:cs="Arial"/>
        </w:rPr>
        <w:t xml:space="preserve">informace o tvorbě nového </w:t>
      </w:r>
      <w:r w:rsidR="000473D5" w:rsidRPr="00044297">
        <w:rPr>
          <w:rFonts w:ascii="Arial" w:hAnsi="Arial" w:cs="Arial"/>
        </w:rPr>
        <w:t>Strategick</w:t>
      </w:r>
      <w:r w:rsidR="001A1692" w:rsidRPr="00044297">
        <w:rPr>
          <w:rFonts w:ascii="Arial" w:hAnsi="Arial" w:cs="Arial"/>
        </w:rPr>
        <w:t>ého</w:t>
      </w:r>
      <w:r w:rsidR="000473D5" w:rsidRPr="00044297">
        <w:rPr>
          <w:rFonts w:ascii="Arial" w:hAnsi="Arial" w:cs="Arial"/>
        </w:rPr>
        <w:t xml:space="preserve"> plán</w:t>
      </w:r>
      <w:r w:rsidR="001A1692" w:rsidRPr="00044297">
        <w:rPr>
          <w:rFonts w:ascii="Arial" w:hAnsi="Arial" w:cs="Arial"/>
        </w:rPr>
        <w:t>u</w:t>
      </w:r>
      <w:r w:rsidR="000473D5" w:rsidRPr="00044297">
        <w:rPr>
          <w:rFonts w:ascii="Arial" w:hAnsi="Arial" w:cs="Arial"/>
        </w:rPr>
        <w:t xml:space="preserve"> rozvoje města Ostravy na </w:t>
      </w:r>
      <w:r w:rsidR="008E44BF" w:rsidRPr="00044297">
        <w:rPr>
          <w:rFonts w:ascii="Arial" w:hAnsi="Arial" w:cs="Arial"/>
        </w:rPr>
        <w:t xml:space="preserve">období </w:t>
      </w:r>
      <w:proofErr w:type="gramStart"/>
      <w:r w:rsidR="000473D5" w:rsidRPr="00044297">
        <w:rPr>
          <w:rFonts w:ascii="Arial" w:hAnsi="Arial" w:cs="Arial"/>
        </w:rPr>
        <w:t>20</w:t>
      </w:r>
      <w:r w:rsidR="001A1692" w:rsidRPr="00044297">
        <w:rPr>
          <w:rFonts w:ascii="Arial" w:hAnsi="Arial" w:cs="Arial"/>
        </w:rPr>
        <w:t xml:space="preserve">24 </w:t>
      </w:r>
      <w:r w:rsidR="0050691F" w:rsidRPr="00044297">
        <w:rPr>
          <w:rFonts w:ascii="Arial" w:hAnsi="Arial" w:cs="Arial"/>
        </w:rPr>
        <w:t>-</w:t>
      </w:r>
      <w:r w:rsidR="001A1692" w:rsidRPr="00044297">
        <w:rPr>
          <w:rFonts w:ascii="Arial" w:hAnsi="Arial" w:cs="Arial"/>
        </w:rPr>
        <w:t xml:space="preserve"> </w:t>
      </w:r>
      <w:r w:rsidR="000473D5" w:rsidRPr="00044297">
        <w:rPr>
          <w:rFonts w:ascii="Arial" w:hAnsi="Arial" w:cs="Arial"/>
        </w:rPr>
        <w:t>20</w:t>
      </w:r>
      <w:r w:rsidR="001A1692" w:rsidRPr="00044297">
        <w:rPr>
          <w:rFonts w:ascii="Arial" w:hAnsi="Arial" w:cs="Arial"/>
        </w:rPr>
        <w:t>30</w:t>
      </w:r>
      <w:proofErr w:type="gramEnd"/>
      <w:r w:rsidR="000473D5" w:rsidRPr="00044297">
        <w:rPr>
          <w:rFonts w:ascii="Arial" w:hAnsi="Arial" w:cs="Arial"/>
        </w:rPr>
        <w:t xml:space="preserve"> (dále jen Strategický plán nebo SPRM)</w:t>
      </w:r>
      <w:r w:rsidR="00F54A56">
        <w:rPr>
          <w:rFonts w:ascii="Arial" w:hAnsi="Arial" w:cs="Arial"/>
        </w:rPr>
        <w:t xml:space="preserve"> </w:t>
      </w:r>
      <w:r w:rsidR="00F54A56" w:rsidRPr="00F54A56">
        <w:rPr>
          <w:rFonts w:ascii="Arial" w:hAnsi="Arial" w:cs="Arial"/>
        </w:rPr>
        <w:t>a</w:t>
      </w:r>
      <w:r w:rsidR="006A766C">
        <w:rPr>
          <w:rFonts w:ascii="Arial" w:hAnsi="Arial" w:cs="Arial"/>
        </w:rPr>
        <w:t> </w:t>
      </w:r>
      <w:r w:rsidR="00F54A56" w:rsidRPr="00F54A56">
        <w:rPr>
          <w:rFonts w:ascii="Arial" w:hAnsi="Arial" w:cs="Arial"/>
        </w:rPr>
        <w:t>průběžné vyhodnocení Strategického plánu rozvoje města Ostravy na období 2017 - 2023</w:t>
      </w:r>
      <w:r w:rsidR="000473D5" w:rsidRPr="00044297">
        <w:rPr>
          <w:rFonts w:ascii="Arial" w:hAnsi="Arial" w:cs="Arial"/>
        </w:rPr>
        <w:t>.</w:t>
      </w:r>
      <w:r w:rsidR="00044297" w:rsidRPr="00044297">
        <w:rPr>
          <w:rFonts w:ascii="Arial" w:hAnsi="Arial" w:cs="Arial"/>
        </w:rPr>
        <w:t xml:space="preserve"> Stejné informace b</w:t>
      </w:r>
      <w:r>
        <w:rPr>
          <w:rFonts w:ascii="Arial" w:hAnsi="Arial" w:cs="Arial"/>
        </w:rPr>
        <w:t>yli</w:t>
      </w:r>
      <w:r w:rsidR="00044297" w:rsidRPr="000442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projednány radou měst</w:t>
      </w:r>
      <w:r w:rsidR="00044297" w:rsidRPr="0004429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dne 14.2.2023</w:t>
      </w:r>
      <w:r w:rsidR="000473D5" w:rsidRPr="00044297">
        <w:rPr>
          <w:rFonts w:ascii="Arial" w:hAnsi="Arial" w:cs="Arial"/>
        </w:rPr>
        <w:t>.</w:t>
      </w:r>
    </w:p>
    <w:p w14:paraId="148C755A" w14:textId="5A971422" w:rsidR="006877E8" w:rsidRDefault="002E3F37" w:rsidP="00804E4F">
      <w:pPr>
        <w:jc w:val="both"/>
        <w:rPr>
          <w:rFonts w:ascii="Arial" w:hAnsi="Arial" w:cs="Arial"/>
          <w:b/>
        </w:rPr>
      </w:pPr>
      <w:r w:rsidRPr="006877E8">
        <w:rPr>
          <w:rFonts w:ascii="Arial" w:hAnsi="Arial" w:cs="Arial"/>
          <w:b/>
        </w:rPr>
        <w:t xml:space="preserve">Harmonogram a informace o procesu tvorby SPRM </w:t>
      </w:r>
      <w:proofErr w:type="gramStart"/>
      <w:r w:rsidRPr="006877E8">
        <w:rPr>
          <w:rFonts w:ascii="Arial" w:hAnsi="Arial" w:cs="Arial"/>
          <w:b/>
        </w:rPr>
        <w:t xml:space="preserve">2024 </w:t>
      </w:r>
      <w:r w:rsidR="006877E8" w:rsidRPr="006877E8">
        <w:rPr>
          <w:rFonts w:ascii="Arial" w:hAnsi="Arial" w:cs="Arial"/>
          <w:b/>
        </w:rPr>
        <w:t>–</w:t>
      </w:r>
      <w:r w:rsidRPr="006877E8">
        <w:rPr>
          <w:rFonts w:ascii="Arial" w:hAnsi="Arial" w:cs="Arial"/>
          <w:b/>
        </w:rPr>
        <w:t xml:space="preserve"> 2030</w:t>
      </w:r>
      <w:proofErr w:type="gramEnd"/>
    </w:p>
    <w:p w14:paraId="3E512DD7" w14:textId="7F2A27D2" w:rsidR="006877E8" w:rsidRDefault="00040E59" w:rsidP="00804E4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Tvorba nového Strategického plánu bude probíhat od února 2023 do března 2024. Stejně jako v předchozím procesu je i v letošním roce v plánu zapojení velkého množství odborníků i osob z řad široké veřejnosti. Do procesu tvorby Strategického plánu </w:t>
      </w:r>
      <w:r w:rsidR="00CC27DF">
        <w:rPr>
          <w:rFonts w:ascii="Arial" w:hAnsi="Arial" w:cs="Arial"/>
        </w:rPr>
        <w:t xml:space="preserve">jsou a </w:t>
      </w:r>
      <w:r>
        <w:rPr>
          <w:rFonts w:ascii="Arial" w:hAnsi="Arial" w:cs="Arial"/>
        </w:rPr>
        <w:t xml:space="preserve">budou zapojeni i členové Rady a Zastupitelstva města Ostravy – například účastí </w:t>
      </w:r>
      <w:r w:rsidR="00365622">
        <w:rPr>
          <w:rFonts w:ascii="Arial" w:hAnsi="Arial" w:cs="Arial"/>
        </w:rPr>
        <w:t>v Řídícím výboru SPRM, v </w:t>
      </w:r>
      <w:r w:rsidR="007D6C30">
        <w:rPr>
          <w:rFonts w:ascii="Arial" w:hAnsi="Arial" w:cs="Arial"/>
        </w:rPr>
        <w:t>K</w:t>
      </w:r>
      <w:r w:rsidR="00365622">
        <w:rPr>
          <w:rFonts w:ascii="Arial" w:hAnsi="Arial" w:cs="Arial"/>
        </w:rPr>
        <w:t xml:space="preserve">omisi pro strategický rozvoj a energetiku, </w:t>
      </w:r>
      <w:r>
        <w:rPr>
          <w:rFonts w:ascii="Arial" w:hAnsi="Arial" w:cs="Arial"/>
        </w:rPr>
        <w:t>v pracovních skupinách, dotazováním v rámci dotazníkového šetření, pocitových map nebo v rámci realizace strukturovaných rozhovorů. Samozřejmostí je také následný proces schvalování Strategického plánu, kdy jeho finální podobu schvaluje zastupitelstvo</w:t>
      </w:r>
      <w:r w:rsidR="007D6C30">
        <w:rPr>
          <w:rFonts w:ascii="Arial" w:hAnsi="Arial" w:cs="Arial"/>
        </w:rPr>
        <w:t xml:space="preserve"> města (předpoklad v březnu 2024)</w:t>
      </w:r>
      <w:r>
        <w:rPr>
          <w:rFonts w:ascii="Arial" w:hAnsi="Arial" w:cs="Arial"/>
        </w:rPr>
        <w:t>.</w:t>
      </w:r>
    </w:p>
    <w:p w14:paraId="6EAAB5FF" w14:textId="04B2E762" w:rsidR="00F54A56" w:rsidRDefault="00F54A56" w:rsidP="00804E4F">
      <w:pPr>
        <w:spacing w:after="0"/>
        <w:jc w:val="both"/>
        <w:rPr>
          <w:rFonts w:ascii="Arial" w:hAnsi="Arial" w:cs="Arial"/>
        </w:rPr>
      </w:pPr>
    </w:p>
    <w:p w14:paraId="35EAC4D3" w14:textId="10D1491A" w:rsidR="00F54A56" w:rsidRDefault="00F54A56" w:rsidP="00F54A5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Zpracovatelem Strategického plánu na období </w:t>
      </w:r>
      <w:proofErr w:type="gramStart"/>
      <w:r>
        <w:rPr>
          <w:rFonts w:ascii="Arial" w:hAnsi="Arial" w:cs="Arial"/>
        </w:rPr>
        <w:t>2024 - 2030</w:t>
      </w:r>
      <w:proofErr w:type="gramEnd"/>
      <w:r>
        <w:rPr>
          <w:rFonts w:ascii="Arial" w:hAnsi="Arial" w:cs="Arial"/>
        </w:rPr>
        <w:t xml:space="preserve"> je společnost</w:t>
      </w:r>
      <w:r w:rsidRPr="006877E8">
        <w:rPr>
          <w:rFonts w:ascii="Arial" w:hAnsi="Arial" w:cs="Arial"/>
        </w:rPr>
        <w:t xml:space="preserve"> </w:t>
      </w:r>
      <w:proofErr w:type="spellStart"/>
      <w:r w:rsidRPr="006877E8">
        <w:rPr>
          <w:rFonts w:ascii="Arial" w:hAnsi="Arial" w:cs="Arial"/>
        </w:rPr>
        <w:t>BeePartner</w:t>
      </w:r>
      <w:proofErr w:type="spellEnd"/>
      <w:r w:rsidRPr="006877E8">
        <w:rPr>
          <w:rFonts w:ascii="Arial" w:hAnsi="Arial" w:cs="Arial"/>
        </w:rPr>
        <w:t xml:space="preserve"> a.s.</w:t>
      </w:r>
      <w:r>
        <w:rPr>
          <w:rFonts w:ascii="Arial" w:hAnsi="Arial" w:cs="Arial"/>
        </w:rPr>
        <w:t>, která zpracovávala i aktuální Strategický plán a disponuje tedy kromě odbornosti i</w:t>
      </w:r>
      <w:r w:rsidR="006A766C">
        <w:rPr>
          <w:rFonts w:ascii="Arial" w:hAnsi="Arial" w:cs="Arial"/>
        </w:rPr>
        <w:t> </w:t>
      </w:r>
      <w:r w:rsidRPr="006877E8">
        <w:rPr>
          <w:rFonts w:ascii="Arial" w:hAnsi="Arial" w:cs="Arial"/>
        </w:rPr>
        <w:t>jedinečným know-ho</w:t>
      </w:r>
      <w:r w:rsidRPr="00681234">
        <w:rPr>
          <w:rFonts w:ascii="Arial" w:hAnsi="Arial" w:cs="Arial"/>
        </w:rPr>
        <w:t>w</w:t>
      </w:r>
      <w:r w:rsidRPr="006877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 zpracování a navázání procesů</w:t>
      </w:r>
      <w:r w:rsidRPr="00681234">
        <w:rPr>
          <w:rFonts w:ascii="Arial" w:hAnsi="Arial" w:cs="Arial"/>
        </w:rPr>
        <w:t xml:space="preserve">. Na procesu tvorby bude aktivně </w:t>
      </w:r>
      <w:r>
        <w:rPr>
          <w:rFonts w:ascii="Arial" w:hAnsi="Arial" w:cs="Arial"/>
        </w:rPr>
        <w:t xml:space="preserve">spolupracovat </w:t>
      </w:r>
      <w:r w:rsidRPr="00681234">
        <w:rPr>
          <w:rFonts w:ascii="Arial" w:hAnsi="Arial" w:cs="Arial"/>
        </w:rPr>
        <w:t xml:space="preserve">také </w:t>
      </w:r>
      <w:r>
        <w:rPr>
          <w:rFonts w:ascii="Arial" w:hAnsi="Arial" w:cs="Arial"/>
        </w:rPr>
        <w:t>o</w:t>
      </w:r>
      <w:r w:rsidRPr="00681234">
        <w:rPr>
          <w:rFonts w:ascii="Arial" w:hAnsi="Arial" w:cs="Arial"/>
        </w:rPr>
        <w:t>dbor strategického rozvoje Magistrátu města Ostravy.</w:t>
      </w:r>
      <w:r>
        <w:rPr>
          <w:rFonts w:ascii="Arial" w:hAnsi="Arial" w:cs="Arial"/>
        </w:rPr>
        <w:t xml:space="preserve"> Veřejnosti bude začátek zpracování nového Strategického plánu představen na začátku března 2023 a</w:t>
      </w:r>
      <w:r w:rsidR="006A766C">
        <w:rPr>
          <w:rFonts w:ascii="Arial" w:hAnsi="Arial" w:cs="Arial"/>
        </w:rPr>
        <w:t> </w:t>
      </w:r>
      <w:r>
        <w:rPr>
          <w:rFonts w:ascii="Arial" w:hAnsi="Arial" w:cs="Arial"/>
        </w:rPr>
        <w:t>ve</w:t>
      </w:r>
      <w:r w:rsidR="006A766C">
        <w:rPr>
          <w:rFonts w:ascii="Arial" w:hAnsi="Arial" w:cs="Arial"/>
        </w:rPr>
        <w:t> </w:t>
      </w:r>
      <w:r>
        <w:rPr>
          <w:rFonts w:ascii="Arial" w:hAnsi="Arial" w:cs="Arial"/>
        </w:rPr>
        <w:t>stejném termínu bude zároveň spuštěno dotazníkové šetření pro veřejnost.</w:t>
      </w:r>
    </w:p>
    <w:p w14:paraId="7B0A7FF3" w14:textId="77777777" w:rsidR="00681234" w:rsidRDefault="00681234" w:rsidP="00804E4F">
      <w:pPr>
        <w:spacing w:after="0"/>
        <w:jc w:val="both"/>
        <w:rPr>
          <w:rFonts w:ascii="Arial" w:hAnsi="Arial" w:cs="Arial"/>
          <w:highlight w:val="yellow"/>
        </w:rPr>
      </w:pPr>
    </w:p>
    <w:p w14:paraId="695775F2" w14:textId="17E736EA" w:rsidR="002B3B0E" w:rsidRDefault="00681234" w:rsidP="00804E4F">
      <w:pPr>
        <w:spacing w:after="0"/>
        <w:jc w:val="both"/>
        <w:rPr>
          <w:rFonts w:ascii="Arial" w:hAnsi="Arial" w:cs="Arial"/>
        </w:rPr>
      </w:pPr>
      <w:r w:rsidRPr="00965F1B">
        <w:rPr>
          <w:rFonts w:ascii="Arial" w:hAnsi="Arial" w:cs="Arial"/>
        </w:rPr>
        <w:t xml:space="preserve">Cílem </w:t>
      </w:r>
      <w:r w:rsidR="00965F1B" w:rsidRPr="00965F1B">
        <w:rPr>
          <w:rFonts w:ascii="Arial" w:hAnsi="Arial" w:cs="Arial"/>
        </w:rPr>
        <w:t xml:space="preserve">je v rámci procesu tvorby </w:t>
      </w:r>
      <w:r w:rsidRPr="00965F1B">
        <w:rPr>
          <w:rFonts w:ascii="Arial" w:hAnsi="Arial" w:cs="Arial"/>
        </w:rPr>
        <w:t>opět různými formami zapojit experty, partnery a širokou veřejnost města Ostravy i</w:t>
      </w:r>
      <w:r w:rsidR="002B3B0E" w:rsidRPr="00965F1B">
        <w:rPr>
          <w:rFonts w:ascii="Arial" w:hAnsi="Arial" w:cs="Arial"/>
        </w:rPr>
        <w:t> </w:t>
      </w:r>
      <w:r w:rsidRPr="00965F1B">
        <w:rPr>
          <w:rFonts w:ascii="Arial" w:hAnsi="Arial" w:cs="Arial"/>
        </w:rPr>
        <w:t>osobností mimo město s vazbami na něj.</w:t>
      </w:r>
      <w:r w:rsidR="00965F1B" w:rsidRPr="00965F1B">
        <w:rPr>
          <w:rFonts w:ascii="Arial" w:hAnsi="Arial" w:cs="Arial"/>
        </w:rPr>
        <w:t xml:space="preserve"> Po celý rok budou probíhat participativní aktivity </w:t>
      </w:r>
      <w:r w:rsidR="007D6C30">
        <w:rPr>
          <w:rFonts w:ascii="Arial" w:hAnsi="Arial" w:cs="Arial"/>
        </w:rPr>
        <w:t xml:space="preserve">s odborníky i </w:t>
      </w:r>
      <w:proofErr w:type="gramStart"/>
      <w:r w:rsidR="007D6C30">
        <w:rPr>
          <w:rFonts w:ascii="Arial" w:hAnsi="Arial" w:cs="Arial"/>
        </w:rPr>
        <w:t>veřejností -</w:t>
      </w:r>
      <w:r w:rsidR="00965F1B" w:rsidRPr="00965F1B">
        <w:rPr>
          <w:rFonts w:ascii="Arial" w:hAnsi="Arial" w:cs="Arial"/>
        </w:rPr>
        <w:t xml:space="preserve"> dotazníkové</w:t>
      </w:r>
      <w:proofErr w:type="gramEnd"/>
      <w:r w:rsidR="00965F1B" w:rsidRPr="00965F1B">
        <w:rPr>
          <w:rFonts w:ascii="Arial" w:hAnsi="Arial" w:cs="Arial"/>
        </w:rPr>
        <w:t xml:space="preserve"> šetření, pocitové mapy, strukturované rozhovory, akce typu </w:t>
      </w:r>
      <w:proofErr w:type="spellStart"/>
      <w:r w:rsidR="00965F1B" w:rsidRPr="00965F1B">
        <w:rPr>
          <w:rFonts w:ascii="Arial" w:hAnsi="Arial" w:cs="Arial"/>
        </w:rPr>
        <w:t>fajnOVA</w:t>
      </w:r>
      <w:proofErr w:type="spellEnd"/>
      <w:r w:rsidR="00965F1B" w:rsidRPr="00965F1B">
        <w:rPr>
          <w:rFonts w:ascii="Arial" w:hAnsi="Arial" w:cs="Arial"/>
        </w:rPr>
        <w:t xml:space="preserve"> káva s primátorem, procházky s odborníky, apod. Zpracovatelský tým se bude účastnit akcí pro veřejnost, kde se bude bavit s lidmi, zjišťovat jejich názory, ptát se na to, jak se město za poslední roky změnilo, co je zde aktuálně trápí, kde vidí potenciál pro rozvoj, atd. V rámci pracovní</w:t>
      </w:r>
      <w:r w:rsidR="007D6C30">
        <w:rPr>
          <w:rFonts w:ascii="Arial" w:hAnsi="Arial" w:cs="Arial"/>
        </w:rPr>
        <w:t>ch</w:t>
      </w:r>
      <w:r w:rsidR="00965F1B" w:rsidRPr="00965F1B">
        <w:rPr>
          <w:rFonts w:ascii="Arial" w:hAnsi="Arial" w:cs="Arial"/>
        </w:rPr>
        <w:t xml:space="preserve"> skupin s odborníky se bude </w:t>
      </w:r>
      <w:r w:rsidR="007D6C30" w:rsidRPr="00965F1B">
        <w:rPr>
          <w:rFonts w:ascii="Arial" w:hAnsi="Arial" w:cs="Arial"/>
        </w:rPr>
        <w:t>diskutovat</w:t>
      </w:r>
      <w:r w:rsidR="00965F1B" w:rsidRPr="00965F1B">
        <w:rPr>
          <w:rFonts w:ascii="Arial" w:hAnsi="Arial" w:cs="Arial"/>
        </w:rPr>
        <w:t xml:space="preserve"> o vizi města, strategických projektech</w:t>
      </w:r>
      <w:r w:rsidR="007D6C30">
        <w:rPr>
          <w:rFonts w:ascii="Arial" w:hAnsi="Arial" w:cs="Arial"/>
        </w:rPr>
        <w:t xml:space="preserve"> a prioritách Ostravy</w:t>
      </w:r>
      <w:r w:rsidR="00965F1B" w:rsidRPr="00965F1B">
        <w:rPr>
          <w:rFonts w:ascii="Arial" w:hAnsi="Arial" w:cs="Arial"/>
        </w:rPr>
        <w:t>. V analytické fázi procesu bude provedena podrobná analýza vnitřního a vnějšího prostředí, zjišťovány silné a</w:t>
      </w:r>
      <w:r w:rsidR="006A766C">
        <w:rPr>
          <w:rFonts w:ascii="Arial" w:hAnsi="Arial" w:cs="Arial"/>
        </w:rPr>
        <w:t> </w:t>
      </w:r>
      <w:r w:rsidR="00965F1B" w:rsidRPr="00965F1B">
        <w:rPr>
          <w:rFonts w:ascii="Arial" w:hAnsi="Arial" w:cs="Arial"/>
        </w:rPr>
        <w:t>slabé stránky a aktuální hrozby a příležitosti. Velký důraz bude napříč celým procesem kladen na z</w:t>
      </w:r>
      <w:r w:rsidR="002B3B0E" w:rsidRPr="00965F1B">
        <w:rPr>
          <w:rFonts w:ascii="Arial" w:hAnsi="Arial" w:cs="Arial"/>
        </w:rPr>
        <w:t xml:space="preserve">apojení místních organizací a partnerů, kteří působí na území města – od využití </w:t>
      </w:r>
      <w:r w:rsidR="00965F1B" w:rsidRPr="00965F1B">
        <w:rPr>
          <w:rFonts w:ascii="Arial" w:hAnsi="Arial" w:cs="Arial"/>
        </w:rPr>
        <w:t xml:space="preserve">jejich </w:t>
      </w:r>
      <w:r w:rsidR="002B3B0E" w:rsidRPr="00965F1B">
        <w:rPr>
          <w:rFonts w:ascii="Arial" w:hAnsi="Arial" w:cs="Arial"/>
        </w:rPr>
        <w:t>prostor, přes sdílení informací</w:t>
      </w:r>
      <w:r w:rsidR="00965F1B" w:rsidRPr="00965F1B">
        <w:rPr>
          <w:rFonts w:ascii="Arial" w:hAnsi="Arial" w:cs="Arial"/>
        </w:rPr>
        <w:t xml:space="preserve"> a</w:t>
      </w:r>
      <w:r w:rsidR="002B3B0E" w:rsidRPr="00965F1B">
        <w:rPr>
          <w:rFonts w:ascii="Arial" w:hAnsi="Arial" w:cs="Arial"/>
        </w:rPr>
        <w:t xml:space="preserve"> statistických dat</w:t>
      </w:r>
      <w:r w:rsidR="00965F1B" w:rsidRPr="00965F1B">
        <w:rPr>
          <w:rFonts w:ascii="Arial" w:hAnsi="Arial" w:cs="Arial"/>
        </w:rPr>
        <w:t>, které mají k dispozici až po jejich přímé zapojení do tvorby Strategického plánu</w:t>
      </w:r>
      <w:r w:rsidR="002B3B0E" w:rsidRPr="00965F1B">
        <w:rPr>
          <w:rFonts w:ascii="Arial" w:hAnsi="Arial" w:cs="Arial"/>
        </w:rPr>
        <w:t>.</w:t>
      </w:r>
    </w:p>
    <w:p w14:paraId="069043C1" w14:textId="6783EEB8" w:rsidR="00365622" w:rsidRDefault="00365622" w:rsidP="00804E4F">
      <w:pPr>
        <w:spacing w:after="0"/>
        <w:jc w:val="both"/>
        <w:rPr>
          <w:rFonts w:ascii="Arial" w:hAnsi="Arial" w:cs="Arial"/>
        </w:rPr>
      </w:pPr>
    </w:p>
    <w:p w14:paraId="4B69FE1B" w14:textId="54ED55BA" w:rsidR="00365622" w:rsidRDefault="0002283F" w:rsidP="00804E4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Proces tvorby SPRM</w:t>
      </w:r>
      <w:r w:rsidRPr="0002283F">
        <w:rPr>
          <w:rFonts w:ascii="Arial" w:hAnsi="Arial" w:cs="Arial"/>
        </w:rPr>
        <w:t xml:space="preserve"> zahrnuje </w:t>
      </w:r>
      <w:r w:rsidR="007D6C30">
        <w:rPr>
          <w:rFonts w:ascii="Arial" w:hAnsi="Arial" w:cs="Arial"/>
        </w:rPr>
        <w:t xml:space="preserve">tyto dílčí etapy a úkoly: </w:t>
      </w:r>
      <w:r w:rsidRPr="0002283F">
        <w:rPr>
          <w:rFonts w:ascii="Arial" w:hAnsi="Arial" w:cs="Arial"/>
        </w:rPr>
        <w:t xml:space="preserve">zpracování analýzy, </w:t>
      </w:r>
      <w:r w:rsidR="007D6C30">
        <w:rPr>
          <w:rFonts w:ascii="Arial" w:hAnsi="Arial" w:cs="Arial"/>
        </w:rPr>
        <w:t xml:space="preserve">zpracování </w:t>
      </w:r>
      <w:r w:rsidRPr="0002283F">
        <w:rPr>
          <w:rFonts w:ascii="Arial" w:hAnsi="Arial" w:cs="Arial"/>
        </w:rPr>
        <w:t>strategické</w:t>
      </w:r>
      <w:r w:rsidR="007D6C30">
        <w:rPr>
          <w:rFonts w:ascii="Arial" w:hAnsi="Arial" w:cs="Arial"/>
        </w:rPr>
        <w:t>ho rámce</w:t>
      </w:r>
      <w:r w:rsidRPr="0002283F">
        <w:rPr>
          <w:rFonts w:ascii="Arial" w:hAnsi="Arial" w:cs="Arial"/>
        </w:rPr>
        <w:t xml:space="preserve">, nastavení procesů realizace </w:t>
      </w:r>
      <w:r w:rsidR="007D6C30">
        <w:rPr>
          <w:rFonts w:ascii="Arial" w:hAnsi="Arial" w:cs="Arial"/>
        </w:rPr>
        <w:t>plánu</w:t>
      </w:r>
      <w:r w:rsidRPr="0002283F">
        <w:rPr>
          <w:rFonts w:ascii="Arial" w:hAnsi="Arial" w:cs="Arial"/>
        </w:rPr>
        <w:t>, zajištění přípravy</w:t>
      </w:r>
      <w:r w:rsidR="007D6C30">
        <w:rPr>
          <w:rFonts w:ascii="Arial" w:hAnsi="Arial" w:cs="Arial"/>
        </w:rPr>
        <w:t>,</w:t>
      </w:r>
      <w:r w:rsidRPr="0002283F">
        <w:rPr>
          <w:rFonts w:ascii="Arial" w:hAnsi="Arial" w:cs="Arial"/>
        </w:rPr>
        <w:t xml:space="preserve"> projednání a</w:t>
      </w:r>
      <w:r w:rsidR="006A766C">
        <w:rPr>
          <w:rFonts w:ascii="Arial" w:hAnsi="Arial" w:cs="Arial"/>
        </w:rPr>
        <w:t> </w:t>
      </w:r>
      <w:r w:rsidRPr="0002283F">
        <w:rPr>
          <w:rFonts w:ascii="Arial" w:hAnsi="Arial" w:cs="Arial"/>
        </w:rPr>
        <w:t xml:space="preserve">schvalování strategie a finalizace dokumentu, </w:t>
      </w:r>
      <w:r w:rsidR="007D6C30">
        <w:rPr>
          <w:rFonts w:ascii="Arial" w:hAnsi="Arial" w:cs="Arial"/>
        </w:rPr>
        <w:t>příprava na</w:t>
      </w:r>
      <w:r w:rsidRPr="0002283F">
        <w:rPr>
          <w:rFonts w:ascii="Arial" w:hAnsi="Arial" w:cs="Arial"/>
        </w:rPr>
        <w:t xml:space="preserve"> schválení strategického plánu, akčního plánu, zpracování a uskutečnění plánu komunikace a participace.</w:t>
      </w:r>
      <w:r>
        <w:rPr>
          <w:rFonts w:ascii="Arial" w:hAnsi="Arial" w:cs="Arial"/>
        </w:rPr>
        <w:t xml:space="preserve"> Kompletní práce budou dokončeny do konce března 2024.</w:t>
      </w:r>
    </w:p>
    <w:p w14:paraId="75B13A34" w14:textId="147E2DDA" w:rsidR="0029773D" w:rsidRDefault="0029773D" w:rsidP="00804E4F">
      <w:pPr>
        <w:spacing w:after="0"/>
        <w:jc w:val="both"/>
        <w:rPr>
          <w:rFonts w:ascii="Arial" w:hAnsi="Arial" w:cs="Arial"/>
        </w:rPr>
      </w:pPr>
    </w:p>
    <w:p w14:paraId="47B1B3DA" w14:textId="4C0F1C08" w:rsidR="0029773D" w:rsidRDefault="0029773D" w:rsidP="00804E4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Předpokládaná časová osa procesu tvorby Strategického plánu:</w:t>
      </w:r>
    </w:p>
    <w:p w14:paraId="7AB34C39" w14:textId="6EFA4B5A" w:rsidR="0029773D" w:rsidRDefault="0029773D" w:rsidP="0029773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6A766C">
        <w:rPr>
          <w:rFonts w:ascii="Arial" w:hAnsi="Arial" w:cs="Arial"/>
          <w:b/>
          <w:bCs/>
        </w:rPr>
        <w:t>Zahájení procesu tvorby</w:t>
      </w:r>
      <w:r>
        <w:rPr>
          <w:rFonts w:ascii="Arial" w:hAnsi="Arial" w:cs="Arial"/>
        </w:rPr>
        <w:t xml:space="preserve"> – podpis smlouvy se zpracovatelem – </w:t>
      </w:r>
      <w:r w:rsidR="00D8031A">
        <w:rPr>
          <w:rFonts w:ascii="Arial" w:hAnsi="Arial" w:cs="Arial"/>
        </w:rPr>
        <w:t>02/</w:t>
      </w:r>
      <w:r>
        <w:rPr>
          <w:rFonts w:ascii="Arial" w:hAnsi="Arial" w:cs="Arial"/>
        </w:rPr>
        <w:t>2023</w:t>
      </w:r>
    </w:p>
    <w:p w14:paraId="1329B3E2" w14:textId="77AD1CBB" w:rsidR="00D8031A" w:rsidRDefault="00D8031A" w:rsidP="0029773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6A766C">
        <w:rPr>
          <w:rFonts w:ascii="Arial" w:hAnsi="Arial" w:cs="Arial"/>
          <w:b/>
          <w:bCs/>
        </w:rPr>
        <w:t>Komunikační a participační aktivity</w:t>
      </w:r>
      <w:r>
        <w:rPr>
          <w:rFonts w:ascii="Arial" w:hAnsi="Arial" w:cs="Arial"/>
        </w:rPr>
        <w:t xml:space="preserve"> – 02/</w:t>
      </w:r>
      <w:proofErr w:type="gramStart"/>
      <w:r>
        <w:rPr>
          <w:rFonts w:ascii="Arial" w:hAnsi="Arial" w:cs="Arial"/>
        </w:rPr>
        <w:t>2023 - 03</w:t>
      </w:r>
      <w:proofErr w:type="gramEnd"/>
      <w:r>
        <w:rPr>
          <w:rFonts w:ascii="Arial" w:hAnsi="Arial" w:cs="Arial"/>
        </w:rPr>
        <w:t>/2024</w:t>
      </w:r>
    </w:p>
    <w:p w14:paraId="6EAF3DE4" w14:textId="5F3DF500" w:rsidR="0029773D" w:rsidRPr="006A766C" w:rsidRDefault="0029773D" w:rsidP="00D8031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D8031A">
        <w:rPr>
          <w:rFonts w:ascii="Arial" w:hAnsi="Arial" w:cs="Arial"/>
          <w:b/>
          <w:bCs/>
        </w:rPr>
        <w:t>Analytická část</w:t>
      </w:r>
      <w:r w:rsidR="00E529A8" w:rsidRPr="00D8031A">
        <w:rPr>
          <w:rFonts w:ascii="Arial" w:hAnsi="Arial" w:cs="Arial"/>
          <w:b/>
          <w:bCs/>
        </w:rPr>
        <w:t xml:space="preserve"> </w:t>
      </w:r>
      <w:r w:rsidR="00D8031A" w:rsidRPr="00D8031A">
        <w:rPr>
          <w:rFonts w:ascii="Arial" w:hAnsi="Arial" w:cs="Arial"/>
        </w:rPr>
        <w:t>–</w:t>
      </w:r>
      <w:r w:rsidR="00E529A8" w:rsidRPr="006A766C">
        <w:rPr>
          <w:rFonts w:ascii="Arial" w:hAnsi="Arial" w:cs="Arial"/>
        </w:rPr>
        <w:t xml:space="preserve"> zpracování analýzy</w:t>
      </w:r>
      <w:r w:rsidR="00E529A8" w:rsidRPr="00D8031A">
        <w:rPr>
          <w:rFonts w:ascii="Arial" w:hAnsi="Arial" w:cs="Arial"/>
          <w:b/>
          <w:bCs/>
        </w:rPr>
        <w:t xml:space="preserve"> </w:t>
      </w:r>
      <w:r w:rsidR="00E529A8" w:rsidRPr="006A766C">
        <w:rPr>
          <w:rFonts w:ascii="Arial" w:hAnsi="Arial" w:cs="Arial"/>
        </w:rPr>
        <w:t>–</w:t>
      </w:r>
      <w:r w:rsidR="00E529A8" w:rsidRPr="00D8031A">
        <w:rPr>
          <w:rFonts w:ascii="Arial" w:hAnsi="Arial" w:cs="Arial"/>
          <w:b/>
          <w:bCs/>
        </w:rPr>
        <w:t xml:space="preserve"> </w:t>
      </w:r>
      <w:r w:rsidR="00D8031A">
        <w:rPr>
          <w:rFonts w:ascii="Arial" w:hAnsi="Arial" w:cs="Arial"/>
        </w:rPr>
        <w:t>02</w:t>
      </w:r>
      <w:r w:rsidR="00E529A8" w:rsidRPr="006A766C">
        <w:rPr>
          <w:rFonts w:ascii="Arial" w:hAnsi="Arial" w:cs="Arial"/>
        </w:rPr>
        <w:t>–</w:t>
      </w:r>
      <w:r w:rsidR="00D8031A">
        <w:rPr>
          <w:rFonts w:ascii="Arial" w:hAnsi="Arial" w:cs="Arial"/>
        </w:rPr>
        <w:t>08/</w:t>
      </w:r>
      <w:r w:rsidR="00E529A8" w:rsidRPr="006A766C">
        <w:rPr>
          <w:rFonts w:ascii="Arial" w:hAnsi="Arial" w:cs="Arial"/>
        </w:rPr>
        <w:t>2023</w:t>
      </w:r>
    </w:p>
    <w:p w14:paraId="3EBC4E09" w14:textId="0E0637CE" w:rsidR="0029773D" w:rsidRDefault="0029773D" w:rsidP="0029773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29773D">
        <w:rPr>
          <w:rFonts w:ascii="Arial" w:hAnsi="Arial" w:cs="Arial"/>
          <w:b/>
          <w:bCs/>
        </w:rPr>
        <w:t xml:space="preserve">Strategické plánování </w:t>
      </w:r>
      <w:r w:rsidRPr="006A766C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s</w:t>
      </w:r>
      <w:r w:rsidRPr="006A766C">
        <w:rPr>
          <w:rFonts w:ascii="Arial" w:hAnsi="Arial" w:cs="Arial"/>
        </w:rPr>
        <w:t>trategická část</w:t>
      </w:r>
      <w:r>
        <w:rPr>
          <w:rFonts w:ascii="Arial" w:hAnsi="Arial" w:cs="Arial"/>
        </w:rPr>
        <w:t xml:space="preserve"> – </w:t>
      </w:r>
      <w:r w:rsidR="00D8031A">
        <w:rPr>
          <w:rFonts w:ascii="Arial" w:hAnsi="Arial" w:cs="Arial"/>
        </w:rPr>
        <w:t>06/</w:t>
      </w:r>
      <w:proofErr w:type="gramStart"/>
      <w:r>
        <w:rPr>
          <w:rFonts w:ascii="Arial" w:hAnsi="Arial" w:cs="Arial"/>
        </w:rPr>
        <w:t>2023</w:t>
      </w:r>
      <w:r w:rsidR="00D803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D8031A">
        <w:rPr>
          <w:rFonts w:ascii="Arial" w:hAnsi="Arial" w:cs="Arial"/>
        </w:rPr>
        <w:t xml:space="preserve"> 01</w:t>
      </w:r>
      <w:proofErr w:type="gramEnd"/>
      <w:r w:rsidR="00D8031A">
        <w:rPr>
          <w:rFonts w:ascii="Arial" w:hAnsi="Arial" w:cs="Arial"/>
        </w:rPr>
        <w:t>/</w:t>
      </w:r>
      <w:r>
        <w:rPr>
          <w:rFonts w:ascii="Arial" w:hAnsi="Arial" w:cs="Arial"/>
        </w:rPr>
        <w:t>2024</w:t>
      </w:r>
    </w:p>
    <w:p w14:paraId="4FC0B8D0" w14:textId="6491211B" w:rsidR="00D8031A" w:rsidRPr="006A766C" w:rsidRDefault="00D8031A" w:rsidP="0029773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6A766C">
        <w:rPr>
          <w:rFonts w:ascii="Arial" w:hAnsi="Arial" w:cs="Arial"/>
          <w:b/>
          <w:bCs/>
        </w:rPr>
        <w:t>Nastavení procesů realizace strategie</w:t>
      </w:r>
      <w:r w:rsidRPr="00D8031A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p</w:t>
      </w:r>
      <w:r w:rsidRPr="00D8031A">
        <w:rPr>
          <w:rFonts w:ascii="Arial" w:hAnsi="Arial" w:cs="Arial"/>
        </w:rPr>
        <w:t>lán implementace</w:t>
      </w:r>
      <w:r>
        <w:rPr>
          <w:rFonts w:ascii="Arial" w:hAnsi="Arial" w:cs="Arial"/>
        </w:rPr>
        <w:t xml:space="preserve"> – 08/</w:t>
      </w:r>
      <w:proofErr w:type="gramStart"/>
      <w:r>
        <w:rPr>
          <w:rFonts w:ascii="Arial" w:hAnsi="Arial" w:cs="Arial"/>
        </w:rPr>
        <w:t>2023 – 0</w:t>
      </w:r>
      <w:r w:rsidR="00203335"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>/2024</w:t>
      </w:r>
    </w:p>
    <w:p w14:paraId="155B2DF7" w14:textId="77A797BF" w:rsidR="0029773D" w:rsidRPr="006A766C" w:rsidRDefault="0029773D" w:rsidP="006A766C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6A766C">
        <w:rPr>
          <w:rFonts w:ascii="Arial" w:hAnsi="Arial" w:cs="Arial"/>
          <w:b/>
          <w:bCs/>
        </w:rPr>
        <w:t>Schválení Strategického plánu zastupitelstvem</w:t>
      </w:r>
      <w:r>
        <w:rPr>
          <w:rFonts w:ascii="Arial" w:hAnsi="Arial" w:cs="Arial"/>
        </w:rPr>
        <w:t xml:space="preserve"> – </w:t>
      </w:r>
      <w:r w:rsidR="00D8031A">
        <w:rPr>
          <w:rFonts w:ascii="Arial" w:hAnsi="Arial" w:cs="Arial"/>
        </w:rPr>
        <w:t>03/</w:t>
      </w:r>
      <w:r>
        <w:rPr>
          <w:rFonts w:ascii="Arial" w:hAnsi="Arial" w:cs="Arial"/>
        </w:rPr>
        <w:t>2024</w:t>
      </w:r>
    </w:p>
    <w:p w14:paraId="7E38963D" w14:textId="01F81D3D" w:rsidR="00AA1C58" w:rsidRDefault="00AA1C58" w:rsidP="00804E4F">
      <w:pPr>
        <w:spacing w:after="0"/>
        <w:jc w:val="both"/>
        <w:rPr>
          <w:rFonts w:ascii="Arial" w:hAnsi="Arial" w:cs="Arial"/>
        </w:rPr>
      </w:pPr>
    </w:p>
    <w:p w14:paraId="1BCE58BB" w14:textId="56F9BC4E" w:rsidR="00D56BA4" w:rsidRPr="00365622" w:rsidRDefault="001122D2" w:rsidP="00804E4F">
      <w:pPr>
        <w:spacing w:after="0"/>
        <w:jc w:val="both"/>
        <w:rPr>
          <w:rFonts w:ascii="Arial" w:hAnsi="Arial" w:cs="Arial"/>
        </w:rPr>
      </w:pPr>
      <w:r w:rsidRPr="00365622">
        <w:rPr>
          <w:rFonts w:ascii="Arial" w:hAnsi="Arial" w:cs="Arial"/>
        </w:rPr>
        <w:t>Ha</w:t>
      </w:r>
      <w:r w:rsidR="00D56BA4" w:rsidRPr="00365622">
        <w:rPr>
          <w:rFonts w:ascii="Arial" w:hAnsi="Arial" w:cs="Arial"/>
        </w:rPr>
        <w:t>rmonogram procesu tvorby</w:t>
      </w:r>
      <w:r w:rsidRPr="00365622">
        <w:rPr>
          <w:rFonts w:ascii="Arial" w:hAnsi="Arial" w:cs="Arial"/>
        </w:rPr>
        <w:t xml:space="preserve"> se skládá z následujících dílčích částí a konkrétních aktivit</w:t>
      </w:r>
      <w:r w:rsidR="00316606">
        <w:rPr>
          <w:rFonts w:ascii="Arial" w:hAnsi="Arial" w:cs="Arial"/>
        </w:rPr>
        <w:t xml:space="preserve"> (v průběhu procesu je pravděpodobné, že se bude ještě doplňovat o další ad hoc akce)</w:t>
      </w:r>
      <w:r w:rsidRPr="00365622">
        <w:rPr>
          <w:rFonts w:ascii="Arial" w:hAnsi="Arial" w:cs="Arial"/>
        </w:rPr>
        <w:t>:</w:t>
      </w:r>
    </w:p>
    <w:p w14:paraId="3B7A04FB" w14:textId="03170F35" w:rsidR="00365622" w:rsidRPr="00365622" w:rsidRDefault="00365622" w:rsidP="00D6477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365622">
        <w:rPr>
          <w:rFonts w:ascii="Arial" w:hAnsi="Arial" w:cs="Arial"/>
        </w:rPr>
        <w:t>Prezentace procesu tvorby Strategického plánu na zasedání zastupitelstva – 3x</w:t>
      </w:r>
    </w:p>
    <w:p w14:paraId="7F864751" w14:textId="6AB65673" w:rsidR="00365622" w:rsidRDefault="00365622" w:rsidP="00D6477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365622">
        <w:rPr>
          <w:rFonts w:ascii="Arial" w:hAnsi="Arial" w:cs="Arial"/>
        </w:rPr>
        <w:t>Jednání Řídícího výboru – 2x</w:t>
      </w:r>
    </w:p>
    <w:p w14:paraId="701F6020" w14:textId="41C18089" w:rsidR="0002283F" w:rsidRDefault="0002283F" w:rsidP="00D6477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Interní dotazníkové šetření – 1x</w:t>
      </w:r>
    </w:p>
    <w:p w14:paraId="47592B0D" w14:textId="376CD5EC" w:rsidR="0002283F" w:rsidRDefault="0002283F" w:rsidP="00D6477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Dotazníkové šetření veřejnosti – 1x</w:t>
      </w:r>
    </w:p>
    <w:p w14:paraId="65578384" w14:textId="679871C3" w:rsidR="0002283F" w:rsidRPr="00365622" w:rsidRDefault="0002283F" w:rsidP="00D6477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Poctové mapy pro veřejnost – 2x</w:t>
      </w:r>
    </w:p>
    <w:p w14:paraId="74DBB8C2" w14:textId="7137AA1E" w:rsidR="00D64770" w:rsidRPr="00365622" w:rsidRDefault="00365622" w:rsidP="00D6477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365622">
        <w:rPr>
          <w:rFonts w:ascii="Arial" w:hAnsi="Arial" w:cs="Arial"/>
        </w:rPr>
        <w:t>Účast zpracovatelského týmu s </w:t>
      </w:r>
      <w:proofErr w:type="spellStart"/>
      <w:r w:rsidRPr="00365622">
        <w:rPr>
          <w:rFonts w:ascii="Arial" w:hAnsi="Arial" w:cs="Arial"/>
        </w:rPr>
        <w:t>fajnOVA</w:t>
      </w:r>
      <w:proofErr w:type="spellEnd"/>
      <w:r w:rsidRPr="00365622">
        <w:rPr>
          <w:rFonts w:ascii="Arial" w:hAnsi="Arial" w:cs="Arial"/>
        </w:rPr>
        <w:t xml:space="preserve"> stánkem v ulicích a na akcích – 10x</w:t>
      </w:r>
    </w:p>
    <w:p w14:paraId="55CF22A8" w14:textId="08D14D80" w:rsidR="00365622" w:rsidRPr="00365622" w:rsidRDefault="00365622" w:rsidP="00D6477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365622">
        <w:rPr>
          <w:rFonts w:ascii="Arial" w:hAnsi="Arial" w:cs="Arial"/>
        </w:rPr>
        <w:t>Vizionářská pracovní skupina – 2x</w:t>
      </w:r>
    </w:p>
    <w:p w14:paraId="6096CFCF" w14:textId="5414975A" w:rsidR="00365622" w:rsidRPr="00365622" w:rsidRDefault="00365622" w:rsidP="00D6477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365622">
        <w:rPr>
          <w:rFonts w:ascii="Arial" w:hAnsi="Arial" w:cs="Arial"/>
        </w:rPr>
        <w:t>Tematické pracovní skupiny v rámci Analytické části – 8x</w:t>
      </w:r>
    </w:p>
    <w:p w14:paraId="6A18B216" w14:textId="59A0B586" w:rsidR="001122D2" w:rsidRPr="00365622" w:rsidRDefault="00365622" w:rsidP="00804E4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365622">
        <w:rPr>
          <w:rFonts w:ascii="Arial" w:hAnsi="Arial" w:cs="Arial"/>
        </w:rPr>
        <w:t>Tematické pracovní skupiny v rámci Návrhové části – 8x</w:t>
      </w:r>
    </w:p>
    <w:p w14:paraId="0560B105" w14:textId="5558F74F" w:rsidR="00365622" w:rsidRPr="00365622" w:rsidRDefault="00365622" w:rsidP="00804E4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365622">
        <w:rPr>
          <w:rFonts w:ascii="Arial" w:hAnsi="Arial" w:cs="Arial"/>
        </w:rPr>
        <w:t>Tematická pracovní skupina Akční plán a implementace – 2x</w:t>
      </w:r>
    </w:p>
    <w:p w14:paraId="476B9F52" w14:textId="5AC60636" w:rsidR="00365622" w:rsidRPr="00365622" w:rsidRDefault="00365622" w:rsidP="00804E4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365622">
        <w:rPr>
          <w:rFonts w:ascii="Arial" w:hAnsi="Arial" w:cs="Arial"/>
        </w:rPr>
        <w:t>Prezentace tvorby Strategického plánu na akcích pořádaných jinými organizacemi – 10x</w:t>
      </w:r>
    </w:p>
    <w:p w14:paraId="4061A71B" w14:textId="13824BD0" w:rsidR="00365622" w:rsidRPr="00365622" w:rsidRDefault="00365622" w:rsidP="00804E4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365622">
        <w:rPr>
          <w:rFonts w:ascii="Arial" w:hAnsi="Arial" w:cs="Arial"/>
        </w:rPr>
        <w:t>Prezentace tvorby Strategického plánu na vlastních akcích v</w:t>
      </w:r>
      <w:r w:rsidR="007D6C30">
        <w:rPr>
          <w:rFonts w:ascii="Arial" w:hAnsi="Arial" w:cs="Arial"/>
        </w:rPr>
        <w:t>e veřejném</w:t>
      </w:r>
      <w:r w:rsidRPr="00365622">
        <w:rPr>
          <w:rFonts w:ascii="Arial" w:hAnsi="Arial" w:cs="Arial"/>
        </w:rPr>
        <w:t> prostoru – 7x</w:t>
      </w:r>
    </w:p>
    <w:p w14:paraId="0C85F109" w14:textId="0E3BCA47" w:rsidR="00365622" w:rsidRPr="00365622" w:rsidRDefault="00365622" w:rsidP="00804E4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365622">
        <w:rPr>
          <w:rFonts w:ascii="Arial" w:hAnsi="Arial" w:cs="Arial"/>
        </w:rPr>
        <w:t>fajnOVA</w:t>
      </w:r>
      <w:proofErr w:type="spellEnd"/>
      <w:r w:rsidRPr="00365622">
        <w:rPr>
          <w:rFonts w:ascii="Arial" w:hAnsi="Arial" w:cs="Arial"/>
        </w:rPr>
        <w:t xml:space="preserve"> káva</w:t>
      </w:r>
      <w:r w:rsidR="007D6C30">
        <w:rPr>
          <w:rFonts w:ascii="Arial" w:hAnsi="Arial" w:cs="Arial"/>
        </w:rPr>
        <w:t xml:space="preserve"> </w:t>
      </w:r>
      <w:r w:rsidRPr="00365622">
        <w:rPr>
          <w:rFonts w:ascii="Arial" w:hAnsi="Arial" w:cs="Arial"/>
        </w:rPr>
        <w:t>s primátorem – 6x</w:t>
      </w:r>
    </w:p>
    <w:p w14:paraId="1070236F" w14:textId="657FBBA9" w:rsidR="00365622" w:rsidRPr="00365622" w:rsidRDefault="00365622" w:rsidP="00804E4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365622">
        <w:rPr>
          <w:rFonts w:ascii="Arial" w:hAnsi="Arial" w:cs="Arial"/>
        </w:rPr>
        <w:t>Business snídaně s primátorem – 3x</w:t>
      </w:r>
    </w:p>
    <w:p w14:paraId="704F2435" w14:textId="64AF3B32" w:rsidR="00365622" w:rsidRPr="00365622" w:rsidRDefault="00365622" w:rsidP="00804E4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365622">
        <w:rPr>
          <w:rFonts w:ascii="Arial" w:hAnsi="Arial" w:cs="Arial"/>
        </w:rPr>
        <w:t>Procházka s architekty pro veřejnost – 3x</w:t>
      </w:r>
    </w:p>
    <w:p w14:paraId="317EDD09" w14:textId="70665DE1" w:rsidR="00365622" w:rsidRPr="00365622" w:rsidRDefault="00365622" w:rsidP="00804E4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365622">
        <w:rPr>
          <w:rFonts w:ascii="Arial" w:hAnsi="Arial" w:cs="Arial"/>
        </w:rPr>
        <w:t>Cykloprojížďky</w:t>
      </w:r>
      <w:proofErr w:type="spellEnd"/>
      <w:r w:rsidRPr="00365622">
        <w:rPr>
          <w:rFonts w:ascii="Arial" w:hAnsi="Arial" w:cs="Arial"/>
        </w:rPr>
        <w:t xml:space="preserve"> – 2x</w:t>
      </w:r>
    </w:p>
    <w:p w14:paraId="222C6704" w14:textId="1749AAB2" w:rsidR="00365622" w:rsidRPr="00365622" w:rsidRDefault="00365622" w:rsidP="00804E4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365622">
        <w:rPr>
          <w:rFonts w:ascii="Arial" w:hAnsi="Arial" w:cs="Arial"/>
        </w:rPr>
        <w:t>Debaty na ZŠ a SŠ – 5x</w:t>
      </w:r>
    </w:p>
    <w:p w14:paraId="00263314" w14:textId="1EA6AE2D" w:rsidR="00365622" w:rsidRPr="00365622" w:rsidRDefault="00365622" w:rsidP="00804E4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365622">
        <w:rPr>
          <w:rFonts w:ascii="Arial" w:hAnsi="Arial" w:cs="Arial"/>
        </w:rPr>
        <w:t>Větší akce pro školy – 1x</w:t>
      </w:r>
    </w:p>
    <w:p w14:paraId="7B74B502" w14:textId="31467222" w:rsidR="00365622" w:rsidRPr="00365622" w:rsidRDefault="00365622" w:rsidP="00804E4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365622">
        <w:rPr>
          <w:rFonts w:ascii="Arial" w:hAnsi="Arial" w:cs="Arial"/>
        </w:rPr>
        <w:t>Mezinárodní konference o trendech v rozvoji měst – 1x</w:t>
      </w:r>
    </w:p>
    <w:p w14:paraId="7695543F" w14:textId="64F7DE6D" w:rsidR="00365622" w:rsidRPr="00365622" w:rsidRDefault="00365622" w:rsidP="00804E4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365622">
        <w:rPr>
          <w:rFonts w:ascii="Arial" w:hAnsi="Arial" w:cs="Arial"/>
        </w:rPr>
        <w:t>Výjezdní jednání ke Strategickému plánu – čerpání inspirace v jiných městech – 6x</w:t>
      </w:r>
    </w:p>
    <w:p w14:paraId="141CE8FF" w14:textId="69AAB0D0" w:rsidR="00365622" w:rsidRPr="00365622" w:rsidRDefault="00365622" w:rsidP="00804E4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365622">
        <w:rPr>
          <w:rFonts w:ascii="Arial" w:hAnsi="Arial" w:cs="Arial"/>
        </w:rPr>
        <w:t>Strukturovaný rozhovor – 80x</w:t>
      </w:r>
    </w:p>
    <w:p w14:paraId="419B1CA2" w14:textId="0083F11E" w:rsidR="00F54A56" w:rsidRDefault="00365622" w:rsidP="00F54A56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365622">
        <w:rPr>
          <w:rFonts w:ascii="Arial" w:hAnsi="Arial" w:cs="Arial"/>
        </w:rPr>
        <w:t>Interní workshop – 6x</w:t>
      </w:r>
    </w:p>
    <w:p w14:paraId="60C5BED9" w14:textId="76AE518B" w:rsidR="00F54A56" w:rsidRDefault="00F54A56" w:rsidP="00F54A56">
      <w:pPr>
        <w:jc w:val="both"/>
        <w:rPr>
          <w:rFonts w:ascii="Arial" w:hAnsi="Arial" w:cs="Arial"/>
        </w:rPr>
      </w:pPr>
    </w:p>
    <w:p w14:paraId="492D1D73" w14:textId="77777777" w:rsidR="00F54A56" w:rsidRPr="00040C4C" w:rsidRDefault="00F54A56" w:rsidP="00F54A56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Vyhodnocení</w:t>
      </w:r>
      <w:r w:rsidRPr="00040C4C">
        <w:rPr>
          <w:rFonts w:ascii="Arial" w:hAnsi="Arial" w:cs="Arial"/>
          <w:b/>
          <w:bCs/>
        </w:rPr>
        <w:t xml:space="preserve"> SPRM na období </w:t>
      </w:r>
      <w:proofErr w:type="gramStart"/>
      <w:r w:rsidRPr="00040C4C">
        <w:rPr>
          <w:rFonts w:ascii="Arial" w:hAnsi="Arial" w:cs="Arial"/>
          <w:b/>
          <w:bCs/>
        </w:rPr>
        <w:t>2017 - 2023</w:t>
      </w:r>
      <w:proofErr w:type="gramEnd"/>
    </w:p>
    <w:p w14:paraId="62CFA4AF" w14:textId="77777777" w:rsidR="00F54A56" w:rsidRPr="001A1692" w:rsidRDefault="00F54A56" w:rsidP="00F54A56">
      <w:pPr>
        <w:spacing w:after="0"/>
        <w:jc w:val="both"/>
        <w:rPr>
          <w:rFonts w:ascii="Arial" w:hAnsi="Arial" w:cs="Arial"/>
          <w:highlight w:val="yellow"/>
        </w:rPr>
      </w:pPr>
    </w:p>
    <w:p w14:paraId="52EDBA98" w14:textId="77777777" w:rsidR="00F54A56" w:rsidRDefault="00F54A56" w:rsidP="00F54A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Strategický plán na období </w:t>
      </w:r>
      <w:proofErr w:type="gramStart"/>
      <w:r>
        <w:rPr>
          <w:rFonts w:ascii="Arial" w:hAnsi="Arial" w:cs="Arial"/>
        </w:rPr>
        <w:t>2017 - 2023</w:t>
      </w:r>
      <w:proofErr w:type="gramEnd"/>
      <w:r>
        <w:rPr>
          <w:rFonts w:ascii="Arial" w:hAnsi="Arial" w:cs="Arial"/>
        </w:rPr>
        <w:t xml:space="preserve"> vznikal v roce </w:t>
      </w:r>
      <w:r w:rsidRPr="00066328">
        <w:rPr>
          <w:rFonts w:ascii="Arial" w:hAnsi="Arial" w:cs="Arial"/>
        </w:rPr>
        <w:t>2016 a do jeho tvorby bylo zapojeno více než 20 000 aktérů z řad odborné i laické veřejnosti. Tento</w:t>
      </w:r>
      <w:r>
        <w:rPr>
          <w:rFonts w:ascii="Arial" w:hAnsi="Arial" w:cs="Arial"/>
        </w:rPr>
        <w:t xml:space="preserve"> Strategický plán nastavil vizi města do roku 2030 a určil priority a strategické cíle, na jejichž plnění a směřování k nim se má město zaměřit.</w:t>
      </w:r>
    </w:p>
    <w:p w14:paraId="051C3E13" w14:textId="26CBC077" w:rsidR="00F54A56" w:rsidRPr="00343E23" w:rsidRDefault="00F54A56" w:rsidP="00F54A56">
      <w:pPr>
        <w:jc w:val="both"/>
        <w:rPr>
          <w:rFonts w:ascii="Arial" w:hAnsi="Arial" w:cs="Arial"/>
        </w:rPr>
      </w:pPr>
      <w:r w:rsidRPr="00343E23">
        <w:rPr>
          <w:rFonts w:ascii="Arial" w:hAnsi="Arial" w:cs="Arial"/>
        </w:rPr>
        <w:t xml:space="preserve">Vzhledem k tomu, že Strategický plán byl vytvořen na období do roku 2023, tak je v současné době nutné, jednak pokračovat v jeho průběžném </w:t>
      </w:r>
      <w:r>
        <w:rPr>
          <w:rFonts w:ascii="Arial" w:hAnsi="Arial" w:cs="Arial"/>
        </w:rPr>
        <w:t>vyhodnocení</w:t>
      </w:r>
      <w:r w:rsidRPr="00343E23">
        <w:rPr>
          <w:rFonts w:ascii="Arial" w:hAnsi="Arial" w:cs="Arial"/>
        </w:rPr>
        <w:t xml:space="preserve"> (kompletní vyhodnocení bude až v roce 2024</w:t>
      </w:r>
      <w:r>
        <w:rPr>
          <w:rFonts w:ascii="Arial" w:hAnsi="Arial" w:cs="Arial"/>
        </w:rPr>
        <w:t xml:space="preserve"> po jeho ukončení</w:t>
      </w:r>
      <w:r w:rsidRPr="00343E23">
        <w:rPr>
          <w:rFonts w:ascii="Arial" w:hAnsi="Arial" w:cs="Arial"/>
        </w:rPr>
        <w:t>), ale také začít tvořit Strategický plán navazující, který</w:t>
      </w:r>
      <w:r>
        <w:rPr>
          <w:rFonts w:ascii="Arial" w:hAnsi="Arial" w:cs="Arial"/>
        </w:rPr>
        <w:t> </w:t>
      </w:r>
      <w:r w:rsidRPr="00343E23">
        <w:rPr>
          <w:rFonts w:ascii="Arial" w:hAnsi="Arial" w:cs="Arial"/>
        </w:rPr>
        <w:t>priority směrování města zreviduje, respektive nastaví nové na následující období, do</w:t>
      </w:r>
      <w:r>
        <w:rPr>
          <w:rFonts w:ascii="Arial" w:hAnsi="Arial" w:cs="Arial"/>
        </w:rPr>
        <w:t> </w:t>
      </w:r>
      <w:r w:rsidRPr="00343E23">
        <w:rPr>
          <w:rFonts w:ascii="Arial" w:hAnsi="Arial" w:cs="Arial"/>
        </w:rPr>
        <w:t>roku 2030. Plnění cílové hodnoty ukazatelů je plánováno do roku 2023, případně 2030, jelikož dopady řady projektů realizovaných do roku 2023 se v organismu města projeví až</w:t>
      </w:r>
      <w:r>
        <w:rPr>
          <w:rFonts w:ascii="Arial" w:hAnsi="Arial" w:cs="Arial"/>
        </w:rPr>
        <w:t> </w:t>
      </w:r>
      <w:r w:rsidRPr="00343E23">
        <w:rPr>
          <w:rFonts w:ascii="Arial" w:hAnsi="Arial" w:cs="Arial"/>
        </w:rPr>
        <w:t>s</w:t>
      </w:r>
      <w:r>
        <w:rPr>
          <w:rFonts w:ascii="Arial" w:hAnsi="Arial" w:cs="Arial"/>
        </w:rPr>
        <w:t> </w:t>
      </w:r>
      <w:r w:rsidRPr="00343E23">
        <w:rPr>
          <w:rFonts w:ascii="Arial" w:hAnsi="Arial" w:cs="Arial"/>
        </w:rPr>
        <w:t>různě velkým zpožděním.</w:t>
      </w:r>
      <w:r>
        <w:rPr>
          <w:rFonts w:ascii="Arial" w:hAnsi="Arial" w:cs="Arial"/>
        </w:rPr>
        <w:t xml:space="preserve"> Vyhodnocovat se tedy bude i nadále po roce 2023.</w:t>
      </w:r>
    </w:p>
    <w:p w14:paraId="2786251D" w14:textId="68EC6F1B" w:rsidR="00F54A56" w:rsidRPr="002E3F37" w:rsidRDefault="00F54A56" w:rsidP="00F54A5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Nedílnou součástí SPRM je </w:t>
      </w:r>
      <w:r w:rsidRPr="00EB4DFA">
        <w:rPr>
          <w:rFonts w:ascii="Arial" w:hAnsi="Arial" w:cs="Arial"/>
          <w:b/>
          <w:bCs/>
        </w:rPr>
        <w:t>Akční plán</w:t>
      </w:r>
      <w:r>
        <w:rPr>
          <w:rFonts w:ascii="Arial" w:hAnsi="Arial" w:cs="Arial"/>
        </w:rPr>
        <w:t xml:space="preserve">, jakožto seznam strategických projektů města, které jsou naplánovány k realizaci a tím k naplňování nastavených strategických cílů. Akční </w:t>
      </w:r>
      <w:r>
        <w:rPr>
          <w:rFonts w:ascii="Arial" w:hAnsi="Arial" w:cs="Arial"/>
        </w:rPr>
        <w:lastRenderedPageBreak/>
        <w:t xml:space="preserve">plán je aktualizován každoročně v květnu a následně překládán radě a zastupitelstvu města ke schválení. </w:t>
      </w:r>
      <w:r w:rsidRPr="002E3F37">
        <w:rPr>
          <w:rFonts w:ascii="Arial" w:hAnsi="Arial" w:cs="Arial"/>
        </w:rPr>
        <w:t>Aktuální Akční plán (</w:t>
      </w:r>
      <w:r>
        <w:rPr>
          <w:rFonts w:ascii="Arial" w:hAnsi="Arial" w:cs="Arial"/>
        </w:rPr>
        <w:t xml:space="preserve">z května </w:t>
      </w:r>
      <w:r w:rsidRPr="002E3F37">
        <w:rPr>
          <w:rFonts w:ascii="Arial" w:hAnsi="Arial" w:cs="Arial"/>
        </w:rPr>
        <w:t>2022) obsahuje 99</w:t>
      </w:r>
      <w:r>
        <w:rPr>
          <w:rFonts w:ascii="Arial" w:hAnsi="Arial" w:cs="Arial"/>
        </w:rPr>
        <w:t> </w:t>
      </w:r>
      <w:r w:rsidRPr="002E3F37">
        <w:rPr>
          <w:rFonts w:ascii="Arial" w:hAnsi="Arial" w:cs="Arial"/>
        </w:rPr>
        <w:t>strategických a</w:t>
      </w:r>
      <w:r>
        <w:rPr>
          <w:rFonts w:ascii="Arial" w:hAnsi="Arial" w:cs="Arial"/>
        </w:rPr>
        <w:t> </w:t>
      </w:r>
      <w:r w:rsidRPr="002E3F37">
        <w:rPr>
          <w:rFonts w:ascii="Arial" w:hAnsi="Arial" w:cs="Arial"/>
        </w:rPr>
        <w:t>68</w:t>
      </w:r>
      <w:r w:rsidR="006A766C">
        <w:rPr>
          <w:rFonts w:ascii="Arial" w:hAnsi="Arial" w:cs="Arial"/>
        </w:rPr>
        <w:t> </w:t>
      </w:r>
      <w:r w:rsidRPr="002E3F37">
        <w:rPr>
          <w:rFonts w:ascii="Arial" w:hAnsi="Arial" w:cs="Arial"/>
        </w:rPr>
        <w:t>inspirativních námětů. Od roku 2017 bylo</w:t>
      </w:r>
      <w:r w:rsidRPr="002E3F37">
        <w:rPr>
          <w:rFonts w:ascii="Arial" w:hAnsi="Arial" w:cs="Arial"/>
          <w:b/>
          <w:bCs/>
        </w:rPr>
        <w:t xml:space="preserve"> již více než 40 projektů úspěšně dokončeno, tyto projekty tak konkrétními výstupy přispěly k naplňování SPRM.</w:t>
      </w:r>
    </w:p>
    <w:p w14:paraId="604A8494" w14:textId="3438B23F" w:rsidR="00F54A56" w:rsidRPr="000C0AA6" w:rsidRDefault="00F54A56" w:rsidP="00F54A56">
      <w:pPr>
        <w:jc w:val="both"/>
        <w:rPr>
          <w:rFonts w:ascii="Arial" w:hAnsi="Arial" w:cs="Arial"/>
          <w:bCs/>
          <w:highlight w:val="yellow"/>
        </w:rPr>
      </w:pPr>
      <w:r w:rsidRPr="00E73DF9">
        <w:rPr>
          <w:rFonts w:ascii="Arial" w:hAnsi="Arial" w:cs="Arial"/>
          <w:b/>
          <w:bCs/>
        </w:rPr>
        <w:t xml:space="preserve">Na webu </w:t>
      </w:r>
      <w:hyperlink r:id="rId8" w:history="1">
        <w:r w:rsidRPr="00393384">
          <w:rPr>
            <w:rFonts w:ascii="Arial" w:hAnsi="Arial" w:cs="Arial"/>
            <w:b/>
            <w:bCs/>
          </w:rPr>
          <w:t>https://fajnova.cz</w:t>
        </w:r>
      </w:hyperlink>
      <w:r w:rsidRPr="00E73DF9">
        <w:rPr>
          <w:rFonts w:ascii="Arial" w:hAnsi="Arial" w:cs="Arial"/>
          <w:b/>
          <w:bCs/>
        </w:rPr>
        <w:t xml:space="preserve"> v záložce „PROJEKTY“ je dostupný seznam a dashboard</w:t>
      </w:r>
      <w:r>
        <w:rPr>
          <w:rFonts w:ascii="Arial" w:hAnsi="Arial" w:cs="Arial"/>
          <w:b/>
          <w:bCs/>
        </w:rPr>
        <w:t xml:space="preserve"> </w:t>
      </w:r>
      <w:r w:rsidRPr="00240C7D">
        <w:rPr>
          <w:rFonts w:ascii="Arial" w:hAnsi="Arial" w:cs="Arial"/>
          <w:b/>
          <w:bCs/>
        </w:rPr>
        <w:t>(reportovací nástroj)</w:t>
      </w:r>
      <w:r w:rsidRPr="00E73DF9">
        <w:rPr>
          <w:rFonts w:ascii="Arial" w:hAnsi="Arial" w:cs="Arial"/>
          <w:b/>
          <w:bCs/>
        </w:rPr>
        <w:t xml:space="preserve"> projektů.</w:t>
      </w:r>
      <w:r w:rsidRPr="00E73DF9">
        <w:rPr>
          <w:rFonts w:ascii="Arial" w:hAnsi="Arial" w:cs="Arial"/>
        </w:rPr>
        <w:t xml:space="preserve"> Na stránce jsou uvedeny všechny strategické projekty, seřazené podle</w:t>
      </w:r>
      <w:r>
        <w:rPr>
          <w:rFonts w:ascii="Arial" w:hAnsi="Arial" w:cs="Arial"/>
        </w:rPr>
        <w:t> </w:t>
      </w:r>
      <w:r w:rsidRPr="00E73DF9">
        <w:rPr>
          <w:rFonts w:ascii="Arial" w:hAnsi="Arial" w:cs="Arial"/>
        </w:rPr>
        <w:t>strategických cílů, s podrobným popisem, aktuálními informacemi a</w:t>
      </w:r>
      <w:r w:rsidR="006A766C">
        <w:rPr>
          <w:rFonts w:ascii="Arial" w:hAnsi="Arial" w:cs="Arial"/>
        </w:rPr>
        <w:t> </w:t>
      </w:r>
      <w:r w:rsidRPr="00E73DF9">
        <w:rPr>
          <w:rFonts w:ascii="Arial" w:hAnsi="Arial" w:cs="Arial"/>
        </w:rPr>
        <w:t xml:space="preserve">harmonogramem včetně fotografií či vizualizací z přípravy a realizace. </w:t>
      </w:r>
      <w:r w:rsidRPr="00EB4DFA">
        <w:rPr>
          <w:rFonts w:ascii="Arial" w:hAnsi="Arial" w:cs="Arial"/>
          <w:b/>
        </w:rPr>
        <w:t>Kompletní seznam dokončených projektů (projekty, u nichž již úspěšně proběhla realizace nebo pilotáž a</w:t>
      </w:r>
      <w:r w:rsidR="006A766C">
        <w:rPr>
          <w:rFonts w:ascii="Arial" w:hAnsi="Arial" w:cs="Arial"/>
          <w:b/>
        </w:rPr>
        <w:t> </w:t>
      </w:r>
      <w:r w:rsidRPr="00EB4DFA">
        <w:rPr>
          <w:rFonts w:ascii="Arial" w:hAnsi="Arial" w:cs="Arial"/>
          <w:b/>
        </w:rPr>
        <w:t>přispěly tak k naplňování SPRM) je přílohou č. 1 tohoto materiálu.</w:t>
      </w:r>
      <w:r w:rsidRPr="00D64770">
        <w:rPr>
          <w:rFonts w:ascii="Arial" w:hAnsi="Arial" w:cs="Arial"/>
        </w:rPr>
        <w:t xml:space="preserve"> Součástí je také stručný grafický dashboard, který zjednodušeně prezentuje klíčové informace o </w:t>
      </w:r>
      <w:r>
        <w:rPr>
          <w:rFonts w:ascii="Arial" w:hAnsi="Arial" w:cs="Arial"/>
        </w:rPr>
        <w:t>A</w:t>
      </w:r>
      <w:r w:rsidRPr="00D64770">
        <w:rPr>
          <w:rFonts w:ascii="Arial" w:hAnsi="Arial" w:cs="Arial"/>
        </w:rPr>
        <w:t>kčním plánu a ukazatelích úspěchu plánu.</w:t>
      </w:r>
    </w:p>
    <w:p w14:paraId="25CD00B4" w14:textId="54A4A942" w:rsidR="00F54A56" w:rsidRPr="00E73DF9" w:rsidRDefault="00F54A56" w:rsidP="00F54A56">
      <w:pPr>
        <w:spacing w:after="0"/>
        <w:jc w:val="both"/>
        <w:rPr>
          <w:rFonts w:ascii="Arial" w:hAnsi="Arial" w:cs="Arial"/>
        </w:rPr>
      </w:pPr>
      <w:r w:rsidRPr="00E73DF9">
        <w:rPr>
          <w:rFonts w:ascii="Arial" w:hAnsi="Arial" w:cs="Arial"/>
        </w:rPr>
        <w:t>Součástí Strategického plánu je kapitola s </w:t>
      </w:r>
      <w:r w:rsidRPr="00E73DF9">
        <w:rPr>
          <w:rFonts w:ascii="Arial" w:hAnsi="Arial" w:cs="Arial"/>
          <w:b/>
        </w:rPr>
        <w:t>hlavními ukazateli/indikátory úspěchu plánu</w:t>
      </w:r>
      <w:r w:rsidRPr="00E73DF9">
        <w:rPr>
          <w:rFonts w:ascii="Arial" w:hAnsi="Arial" w:cs="Arial"/>
        </w:rPr>
        <w:t xml:space="preserve"> s jejich podrobným popisem. Ty jsou průběžně sledovány a aktualizovány, </w:t>
      </w:r>
      <w:r>
        <w:rPr>
          <w:rFonts w:ascii="Arial" w:hAnsi="Arial" w:cs="Arial"/>
        </w:rPr>
        <w:t xml:space="preserve">aktuálně </w:t>
      </w:r>
      <w:r w:rsidRPr="00E73DF9">
        <w:rPr>
          <w:rFonts w:ascii="Arial" w:hAnsi="Arial" w:cs="Arial"/>
        </w:rPr>
        <w:t>s daty za</w:t>
      </w:r>
      <w:r w:rsidR="006A766C">
        <w:rPr>
          <w:rFonts w:ascii="Arial" w:hAnsi="Arial" w:cs="Arial"/>
        </w:rPr>
        <w:t> </w:t>
      </w:r>
      <w:r w:rsidRPr="00E73DF9">
        <w:rPr>
          <w:rFonts w:ascii="Arial" w:hAnsi="Arial" w:cs="Arial"/>
        </w:rPr>
        <w:t>rok 2021 (</w:t>
      </w:r>
      <w:r w:rsidRPr="000C0AA6">
        <w:rPr>
          <w:rFonts w:ascii="Arial" w:hAnsi="Arial" w:cs="Arial"/>
        </w:rPr>
        <w:t>vyhodnocení ukazatelů za rok 2022 je aktuálně v</w:t>
      </w:r>
      <w:r>
        <w:rPr>
          <w:rFonts w:ascii="Arial" w:hAnsi="Arial" w:cs="Arial"/>
        </w:rPr>
        <w:t> </w:t>
      </w:r>
      <w:r w:rsidRPr="000C0AA6">
        <w:rPr>
          <w:rFonts w:ascii="Arial" w:hAnsi="Arial" w:cs="Arial"/>
        </w:rPr>
        <w:t>přípravě</w:t>
      </w:r>
      <w:r>
        <w:rPr>
          <w:rFonts w:ascii="Arial" w:hAnsi="Arial" w:cs="Arial"/>
        </w:rPr>
        <w:t xml:space="preserve">, neboť řada datových sad za rok 2022 bude k dispozici až v letošním </w:t>
      </w:r>
      <w:proofErr w:type="gramStart"/>
      <w:r>
        <w:rPr>
          <w:rFonts w:ascii="Arial" w:hAnsi="Arial" w:cs="Arial"/>
        </w:rPr>
        <w:t>květnu</w:t>
      </w:r>
      <w:r w:rsidRPr="000C0A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0C0AA6">
        <w:rPr>
          <w:rFonts w:ascii="Arial" w:hAnsi="Arial" w:cs="Arial"/>
        </w:rPr>
        <w:t xml:space="preserve"> bude</w:t>
      </w:r>
      <w:proofErr w:type="gramEnd"/>
      <w:r w:rsidRPr="000C0A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projednáno standardně radou a zastupitelstvem města v červnu </w:t>
      </w:r>
      <w:r w:rsidRPr="000C0AA6">
        <w:rPr>
          <w:rFonts w:ascii="Arial" w:hAnsi="Arial" w:cs="Arial"/>
        </w:rPr>
        <w:t>2023).</w:t>
      </w:r>
      <w:r w:rsidRPr="00E73DF9">
        <w:rPr>
          <w:rFonts w:ascii="Arial" w:hAnsi="Arial" w:cs="Arial"/>
        </w:rPr>
        <w:t xml:space="preserve"> Ukazatelů SPRM je celkem 38 a jsou na</w:t>
      </w:r>
      <w:r>
        <w:rPr>
          <w:rFonts w:ascii="Arial" w:hAnsi="Arial" w:cs="Arial"/>
        </w:rPr>
        <w:t> </w:t>
      </w:r>
      <w:r w:rsidRPr="00E73DF9">
        <w:rPr>
          <w:rFonts w:ascii="Arial" w:hAnsi="Arial" w:cs="Arial"/>
        </w:rPr>
        <w:t xml:space="preserve">různé úrovni </w:t>
      </w:r>
      <w:proofErr w:type="gramStart"/>
      <w:r w:rsidRPr="00E73DF9">
        <w:rPr>
          <w:rFonts w:ascii="Arial" w:hAnsi="Arial" w:cs="Arial"/>
        </w:rPr>
        <w:t>interpretace - od</w:t>
      </w:r>
      <w:proofErr w:type="gramEnd"/>
      <w:r w:rsidRPr="00E73DF9">
        <w:rPr>
          <w:rFonts w:ascii="Arial" w:hAnsi="Arial" w:cs="Arial"/>
        </w:rPr>
        <w:t xml:space="preserve"> výstupových (např. nárůst počtu vytvořených P+R parkovacích míst nebo růst počtu městských organizací s open daty), přes výsledkové (např. růst počtu pracovních míst v průmyslových zónách nebo zvýšení počtu zapojených veřejných institucí v projektech mezinárodní spolupráce) až po dopadové (např. rychlejší růst průměrné hrubé mzdy nebo podíl obyvatel ve věku 15-64 let).</w:t>
      </w:r>
    </w:p>
    <w:p w14:paraId="44A0B230" w14:textId="77777777" w:rsidR="00F54A56" w:rsidRPr="001A1692" w:rsidRDefault="00F54A56" w:rsidP="00F54A56">
      <w:pPr>
        <w:spacing w:after="0"/>
        <w:jc w:val="both"/>
        <w:rPr>
          <w:rFonts w:ascii="Arial" w:hAnsi="Arial" w:cs="Arial"/>
          <w:highlight w:val="yellow"/>
        </w:rPr>
      </w:pPr>
    </w:p>
    <w:p w14:paraId="531C970A" w14:textId="77777777" w:rsidR="00D8031A" w:rsidRDefault="00F54A56" w:rsidP="00F54A56">
      <w:pPr>
        <w:spacing w:after="0"/>
        <w:jc w:val="both"/>
        <w:rPr>
          <w:rFonts w:ascii="Arial" w:hAnsi="Arial" w:cs="Arial"/>
        </w:rPr>
      </w:pPr>
      <w:r w:rsidRPr="00E73DF9">
        <w:rPr>
          <w:rFonts w:ascii="Arial" w:hAnsi="Arial" w:cs="Arial"/>
          <w:b/>
          <w:bCs/>
        </w:rPr>
        <w:t xml:space="preserve">Graficky zpracovaný souhrn ukazatelů úspěchu Strategického plánu je k dispozici na webu </w:t>
      </w:r>
      <w:hyperlink r:id="rId9" w:history="1">
        <w:r w:rsidRPr="00393384">
          <w:rPr>
            <w:rFonts w:ascii="Arial" w:hAnsi="Arial" w:cs="Arial"/>
            <w:b/>
            <w:bCs/>
          </w:rPr>
          <w:t>https://fajnova.cz</w:t>
        </w:r>
      </w:hyperlink>
      <w:r w:rsidRPr="00E73DF9">
        <w:rPr>
          <w:rFonts w:ascii="Arial" w:hAnsi="Arial" w:cs="Arial"/>
          <w:b/>
          <w:bCs/>
        </w:rPr>
        <w:t xml:space="preserve"> v záložce „UKAZATELE“. </w:t>
      </w:r>
      <w:r w:rsidRPr="00E73DF9">
        <w:rPr>
          <w:rFonts w:ascii="Arial" w:hAnsi="Arial" w:cs="Arial"/>
        </w:rPr>
        <w:t>Aktuální trend jejich plnění vůči očekávanému cílovému stavu je znázorněn barvami semaforu. Pro rok 2021 pak</w:t>
      </w:r>
      <w:r w:rsidR="00D8031A">
        <w:rPr>
          <w:rFonts w:ascii="Arial" w:hAnsi="Arial" w:cs="Arial"/>
        </w:rPr>
        <w:t>:</w:t>
      </w:r>
    </w:p>
    <w:p w14:paraId="46314522" w14:textId="237698F2" w:rsidR="00D8031A" w:rsidRDefault="00F54A56" w:rsidP="00D8031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6A766C">
        <w:rPr>
          <w:rFonts w:ascii="Arial" w:hAnsi="Arial" w:cs="Arial"/>
        </w:rPr>
        <w:t>21 ukazatelů naplňuje plán (zelená barva),</w:t>
      </w:r>
    </w:p>
    <w:p w14:paraId="795FBB70" w14:textId="1F97E506" w:rsidR="00D8031A" w:rsidRDefault="00F54A56" w:rsidP="00D8031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6A766C">
        <w:rPr>
          <w:rFonts w:ascii="Arial" w:hAnsi="Arial" w:cs="Arial"/>
        </w:rPr>
        <w:t>13 ukazatelů částečně naplňuje plán (oranžová barva)</w:t>
      </w:r>
    </w:p>
    <w:p w14:paraId="63E0A923" w14:textId="254EA122" w:rsidR="00F54A56" w:rsidRPr="006A766C" w:rsidRDefault="00F54A56" w:rsidP="006A766C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6A766C">
        <w:rPr>
          <w:rFonts w:ascii="Arial" w:hAnsi="Arial" w:cs="Arial"/>
        </w:rPr>
        <w:t>4 ukazatele nenaplňují plán (červená barva)</w:t>
      </w:r>
      <w:r w:rsidR="0029773D" w:rsidRPr="006A766C">
        <w:rPr>
          <w:rFonts w:ascii="Arial" w:hAnsi="Arial" w:cs="Arial"/>
        </w:rPr>
        <w:t xml:space="preserve"> – konkrétně se jedná o ukazatele Migrační saldo obyvatel; Podíl obyvatel ve věku </w:t>
      </w:r>
      <w:proofErr w:type="gramStart"/>
      <w:r w:rsidR="0029773D" w:rsidRPr="006A766C">
        <w:rPr>
          <w:rFonts w:ascii="Arial" w:hAnsi="Arial" w:cs="Arial"/>
        </w:rPr>
        <w:t>15 – 64</w:t>
      </w:r>
      <w:proofErr w:type="gramEnd"/>
      <w:r w:rsidR="0029773D" w:rsidRPr="006A766C">
        <w:rPr>
          <w:rFonts w:ascii="Arial" w:hAnsi="Arial" w:cs="Arial"/>
        </w:rPr>
        <w:t xml:space="preserve"> let; Průměrná hrubá mzda; Průměrná hrubá mzda v MS kraji</w:t>
      </w:r>
      <w:r w:rsidRPr="006A766C">
        <w:rPr>
          <w:rFonts w:ascii="Arial" w:hAnsi="Arial" w:cs="Arial"/>
        </w:rPr>
        <w:t>.</w:t>
      </w:r>
    </w:p>
    <w:p w14:paraId="3CC58B6B" w14:textId="77777777" w:rsidR="00F54A56" w:rsidRPr="001A1692" w:rsidRDefault="00F54A56" w:rsidP="00F54A56">
      <w:pPr>
        <w:spacing w:after="0"/>
        <w:jc w:val="both"/>
        <w:rPr>
          <w:rFonts w:ascii="Arial" w:hAnsi="Arial" w:cs="Arial"/>
          <w:highlight w:val="yellow"/>
        </w:rPr>
      </w:pPr>
    </w:p>
    <w:p w14:paraId="01824A56" w14:textId="0CF18279" w:rsidR="00F54A56" w:rsidRDefault="00F54A56" w:rsidP="00F54A56">
      <w:pPr>
        <w:spacing w:after="0"/>
        <w:jc w:val="both"/>
        <w:rPr>
          <w:rFonts w:ascii="Arial" w:hAnsi="Arial" w:cs="Arial"/>
        </w:rPr>
      </w:pPr>
      <w:r w:rsidRPr="00CD0333">
        <w:rPr>
          <w:rFonts w:ascii="Arial" w:hAnsi="Arial" w:cs="Arial"/>
          <w:b/>
          <w:bCs/>
        </w:rPr>
        <w:t xml:space="preserve">U </w:t>
      </w:r>
      <w:r w:rsidR="0029773D">
        <w:rPr>
          <w:rFonts w:ascii="Arial" w:hAnsi="Arial" w:cs="Arial"/>
          <w:b/>
          <w:bCs/>
        </w:rPr>
        <w:t>většiny</w:t>
      </w:r>
      <w:r w:rsidRPr="00CD0333">
        <w:rPr>
          <w:rFonts w:ascii="Arial" w:hAnsi="Arial" w:cs="Arial"/>
          <w:b/>
          <w:bCs/>
        </w:rPr>
        <w:t xml:space="preserve"> ukazatelů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(nejen těch oficiálně nastavených k sledování a vyhodnocování v rámci SPRM)</w:t>
      </w:r>
      <w:r w:rsidRPr="00CD0333">
        <w:rPr>
          <w:rFonts w:ascii="Arial" w:hAnsi="Arial" w:cs="Arial"/>
          <w:b/>
          <w:bCs/>
        </w:rPr>
        <w:t xml:space="preserve"> lze sledovat pozitivní trend, který směřuje k naplnění cíl</w:t>
      </w:r>
      <w:r>
        <w:rPr>
          <w:rFonts w:ascii="Arial" w:hAnsi="Arial" w:cs="Arial"/>
          <w:b/>
          <w:bCs/>
        </w:rPr>
        <w:t>ů</w:t>
      </w:r>
      <w:r w:rsidRPr="00CD0333">
        <w:rPr>
          <w:rFonts w:ascii="Arial" w:hAnsi="Arial" w:cs="Arial"/>
          <w:b/>
          <w:bCs/>
        </w:rPr>
        <w:t xml:space="preserve"> Strategick</w:t>
      </w:r>
      <w:r>
        <w:rPr>
          <w:rFonts w:ascii="Arial" w:hAnsi="Arial" w:cs="Arial"/>
          <w:b/>
          <w:bCs/>
        </w:rPr>
        <w:t xml:space="preserve">ého </w:t>
      </w:r>
      <w:r w:rsidRPr="00CD0333">
        <w:rPr>
          <w:rFonts w:ascii="Arial" w:hAnsi="Arial" w:cs="Arial"/>
          <w:b/>
          <w:bCs/>
        </w:rPr>
        <w:t>plán</w:t>
      </w:r>
      <w:r>
        <w:rPr>
          <w:rFonts w:ascii="Arial" w:hAnsi="Arial" w:cs="Arial"/>
          <w:b/>
          <w:bCs/>
        </w:rPr>
        <w:t>u</w:t>
      </w:r>
      <w:r w:rsidRPr="00CD0333">
        <w:rPr>
          <w:rFonts w:ascii="Arial" w:hAnsi="Arial" w:cs="Arial"/>
        </w:rPr>
        <w:t xml:space="preserve"> a</w:t>
      </w:r>
      <w:r w:rsidR="006A766C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ilustrují tak pozitivní vývoj kvality života v </w:t>
      </w:r>
      <w:r w:rsidRPr="00CD0333">
        <w:rPr>
          <w:rFonts w:ascii="Arial" w:hAnsi="Arial" w:cs="Arial"/>
        </w:rPr>
        <w:t>Ostrav</w:t>
      </w:r>
      <w:r>
        <w:rPr>
          <w:rFonts w:ascii="Arial" w:hAnsi="Arial" w:cs="Arial"/>
        </w:rPr>
        <w:t>ě</w:t>
      </w:r>
      <w:r w:rsidRPr="00CD0333">
        <w:rPr>
          <w:rFonts w:ascii="Arial" w:hAnsi="Arial" w:cs="Arial"/>
        </w:rPr>
        <w:t xml:space="preserve"> za předchozích 6 let platnosti Strategického plánu</w:t>
      </w:r>
      <w:r>
        <w:rPr>
          <w:rFonts w:ascii="Arial" w:hAnsi="Arial" w:cs="Arial"/>
        </w:rPr>
        <w:t xml:space="preserve">. </w:t>
      </w:r>
      <w:r w:rsidRPr="00CD0333">
        <w:rPr>
          <w:rFonts w:ascii="Arial" w:hAnsi="Arial" w:cs="Arial"/>
        </w:rPr>
        <w:t>Jedná se například o:</w:t>
      </w:r>
    </w:p>
    <w:p w14:paraId="7E6A7D23" w14:textId="77777777" w:rsidR="00F54A56" w:rsidRPr="00CD0333" w:rsidRDefault="00F54A56" w:rsidP="00F54A56">
      <w:pPr>
        <w:spacing w:after="0"/>
        <w:jc w:val="both"/>
        <w:rPr>
          <w:rFonts w:ascii="Arial" w:hAnsi="Arial" w:cs="Arial"/>
        </w:rPr>
      </w:pPr>
    </w:p>
    <w:p w14:paraId="564F94E3" w14:textId="026CD419" w:rsidR="00F54A56" w:rsidRPr="00EB4DFA" w:rsidRDefault="00F54A56" w:rsidP="00F54A56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Kvalita ovzduší</w:t>
      </w:r>
    </w:p>
    <w:p w14:paraId="0A6AD243" w14:textId="6E9068D9" w:rsidR="00F54A56" w:rsidRPr="00AF018F" w:rsidRDefault="00F54A56" w:rsidP="00EB4DFA">
      <w:pPr>
        <w:spacing w:after="0"/>
        <w:jc w:val="both"/>
        <w:rPr>
          <w:rFonts w:ascii="Arial" w:hAnsi="Arial" w:cs="Arial"/>
          <w:highlight w:val="yellow"/>
        </w:rPr>
      </w:pPr>
      <w:r w:rsidRPr="004B6E3C">
        <w:rPr>
          <w:rFonts w:ascii="Arial" w:hAnsi="Arial" w:cs="Arial"/>
        </w:rPr>
        <w:t xml:space="preserve">Ostrava má ambice pokračovat v současném </w:t>
      </w:r>
      <w:r w:rsidRPr="00EB4DFA">
        <w:rPr>
          <w:rFonts w:ascii="Arial" w:hAnsi="Arial" w:cs="Arial"/>
        </w:rPr>
        <w:t xml:space="preserve">pozitivním </w:t>
      </w:r>
      <w:r w:rsidRPr="004B6E3C">
        <w:rPr>
          <w:rFonts w:ascii="Arial" w:hAnsi="Arial" w:cs="Arial"/>
        </w:rPr>
        <w:t>trendu snižování ročních koncentrací imisí</w:t>
      </w:r>
      <w:r w:rsidRPr="00EB4DFA">
        <w:rPr>
          <w:rFonts w:ascii="Arial" w:hAnsi="Arial" w:cs="Arial"/>
        </w:rPr>
        <w:t xml:space="preserve"> (který pokračoval i v roce 2022)</w:t>
      </w:r>
      <w:r w:rsidRPr="004B6E3C">
        <w:rPr>
          <w:rFonts w:ascii="Arial" w:hAnsi="Arial" w:cs="Arial"/>
        </w:rPr>
        <w:t xml:space="preserve"> a do roku 2030 plnit zákonem povolený limit 35 dní v roce s překročeným denním imisním limitem u ukazatele PM10 a normy ročních koncentrací imisních limitů u ukazatelů PM10, PM2,5 a B(a)P na měřicích stanicích v</w:t>
      </w:r>
      <w:r w:rsidR="006A766C">
        <w:rPr>
          <w:rFonts w:ascii="Arial" w:hAnsi="Arial" w:cs="Arial"/>
        </w:rPr>
        <w:t> </w:t>
      </w:r>
      <w:r w:rsidRPr="004B6E3C">
        <w:rPr>
          <w:rFonts w:ascii="Arial" w:hAnsi="Arial" w:cs="Arial"/>
        </w:rPr>
        <w:t xml:space="preserve">Ostravě. </w:t>
      </w:r>
    </w:p>
    <w:p w14:paraId="3F110186" w14:textId="3513337C" w:rsidR="00F54A56" w:rsidRDefault="00F54A56" w:rsidP="00F54A56">
      <w:pPr>
        <w:pStyle w:val="Odstavecseseznamem"/>
        <w:jc w:val="both"/>
        <w:rPr>
          <w:rFonts w:ascii="Arial" w:hAnsi="Arial" w:cs="Arial"/>
          <w:highlight w:val="yellow"/>
        </w:rPr>
      </w:pPr>
    </w:p>
    <w:p w14:paraId="3CAAF031" w14:textId="04CD60F8" w:rsidR="006A766C" w:rsidRDefault="006A766C" w:rsidP="00F54A56">
      <w:pPr>
        <w:pStyle w:val="Odstavecseseznamem"/>
        <w:jc w:val="both"/>
        <w:rPr>
          <w:rFonts w:ascii="Arial" w:hAnsi="Arial" w:cs="Arial"/>
          <w:highlight w:val="yellow"/>
        </w:rPr>
      </w:pPr>
    </w:p>
    <w:p w14:paraId="560DC36A" w14:textId="690E919F" w:rsidR="006A766C" w:rsidRDefault="006A766C" w:rsidP="00F54A56">
      <w:pPr>
        <w:pStyle w:val="Odstavecseseznamem"/>
        <w:jc w:val="both"/>
        <w:rPr>
          <w:rFonts w:ascii="Arial" w:hAnsi="Arial" w:cs="Arial"/>
          <w:highlight w:val="yellow"/>
        </w:rPr>
      </w:pPr>
    </w:p>
    <w:p w14:paraId="6EF571FA" w14:textId="41433473" w:rsidR="006A766C" w:rsidRDefault="006A766C" w:rsidP="00F54A56">
      <w:pPr>
        <w:pStyle w:val="Odstavecseseznamem"/>
        <w:jc w:val="both"/>
        <w:rPr>
          <w:rFonts w:ascii="Arial" w:hAnsi="Arial" w:cs="Arial"/>
          <w:highlight w:val="yellow"/>
        </w:rPr>
      </w:pPr>
    </w:p>
    <w:p w14:paraId="4A4006F4" w14:textId="15579D0E" w:rsidR="00D039E4" w:rsidRDefault="00D039E4" w:rsidP="00F54A56">
      <w:pPr>
        <w:pStyle w:val="Odstavecseseznamem"/>
        <w:jc w:val="both"/>
        <w:rPr>
          <w:rFonts w:ascii="Arial" w:hAnsi="Arial" w:cs="Arial"/>
          <w:highlight w:val="yellow"/>
        </w:rPr>
      </w:pPr>
    </w:p>
    <w:p w14:paraId="5D30D077" w14:textId="77777777" w:rsidR="00D039E4" w:rsidRPr="00AF018F" w:rsidRDefault="00D039E4" w:rsidP="00F54A56">
      <w:pPr>
        <w:pStyle w:val="Odstavecseseznamem"/>
        <w:jc w:val="both"/>
        <w:rPr>
          <w:rFonts w:ascii="Arial" w:hAnsi="Arial" w:cs="Arial"/>
          <w:highlight w:val="yellow"/>
        </w:rPr>
      </w:pPr>
    </w:p>
    <w:p w14:paraId="07C745DF" w14:textId="77777777" w:rsidR="006A766C" w:rsidRDefault="00F54A56" w:rsidP="00F54A56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EB4DFA">
        <w:rPr>
          <w:rFonts w:ascii="Arial" w:hAnsi="Arial" w:cs="Arial"/>
          <w:b/>
          <w:bCs/>
        </w:rPr>
        <w:lastRenderedPageBreak/>
        <w:t>H</w:t>
      </w:r>
      <w:r>
        <w:rPr>
          <w:rFonts w:ascii="Arial" w:hAnsi="Arial" w:cs="Arial"/>
          <w:b/>
          <w:bCs/>
        </w:rPr>
        <w:t>rubý domácí produkt</w:t>
      </w:r>
    </w:p>
    <w:p w14:paraId="27CD3E28" w14:textId="04D202EF" w:rsidR="00F54A56" w:rsidRPr="006A766C" w:rsidRDefault="00F54A56" w:rsidP="006A766C">
      <w:pPr>
        <w:jc w:val="both"/>
        <w:rPr>
          <w:rFonts w:ascii="Arial" w:hAnsi="Arial" w:cs="Arial"/>
          <w:b/>
          <w:bCs/>
        </w:rPr>
      </w:pPr>
      <w:r w:rsidRPr="006A766C">
        <w:rPr>
          <w:rFonts w:ascii="Arial" w:hAnsi="Arial" w:cs="Arial"/>
        </w:rPr>
        <w:t>HDP Moravskoslezského kraje roste, v roce 2021 to bylo nejvíce ze všech regionů ČR (nárůst o 6,4 % oproti roku předchozímu) a je zřejmé, že výrazný podíl na tom má i město Ostrava – žije v něm téměř čtvrtina obyvatel kraje a soustředí se sem většina ekonomiky.</w:t>
      </w:r>
    </w:p>
    <w:p w14:paraId="07D659A7" w14:textId="77777777" w:rsidR="00F54A56" w:rsidRPr="00EB4DFA" w:rsidRDefault="00F54A56" w:rsidP="00F54A56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EB4DFA">
        <w:rPr>
          <w:rFonts w:ascii="Arial" w:hAnsi="Arial" w:cs="Arial"/>
          <w:b/>
          <w:bCs/>
        </w:rPr>
        <w:t>Počet vysokoškolsky vzdělaných obyvatel</w:t>
      </w:r>
      <w:r>
        <w:rPr>
          <w:rFonts w:ascii="Arial" w:hAnsi="Arial" w:cs="Arial"/>
          <w:b/>
          <w:bCs/>
        </w:rPr>
        <w:t xml:space="preserve"> a vysokoškolských studentů</w:t>
      </w:r>
    </w:p>
    <w:p w14:paraId="453A1C55" w14:textId="77777777" w:rsidR="00F54A56" w:rsidRDefault="00F54A56" w:rsidP="00F54A56">
      <w:pPr>
        <w:jc w:val="both"/>
        <w:rPr>
          <w:rFonts w:ascii="Arial" w:hAnsi="Arial" w:cs="Arial"/>
        </w:rPr>
      </w:pPr>
      <w:r w:rsidRPr="00AD4BEF">
        <w:rPr>
          <w:rFonts w:ascii="Arial" w:hAnsi="Arial" w:cs="Arial"/>
        </w:rPr>
        <w:t>V Ostravě roste počet vysokoškolsky vzdělaných obyvatel. Mezi roky 2011 a 2021 se</w:t>
      </w:r>
      <w:r>
        <w:rPr>
          <w:rFonts w:ascii="Arial" w:hAnsi="Arial" w:cs="Arial"/>
        </w:rPr>
        <w:t> </w:t>
      </w:r>
      <w:r w:rsidRPr="00AD4BEF">
        <w:rPr>
          <w:rFonts w:ascii="Arial" w:hAnsi="Arial" w:cs="Arial"/>
        </w:rPr>
        <w:t>dle</w:t>
      </w:r>
      <w:r>
        <w:rPr>
          <w:rFonts w:ascii="Arial" w:hAnsi="Arial" w:cs="Arial"/>
        </w:rPr>
        <w:t> </w:t>
      </w:r>
      <w:r w:rsidRPr="00AD4BEF">
        <w:rPr>
          <w:rFonts w:ascii="Arial" w:hAnsi="Arial" w:cs="Arial"/>
        </w:rPr>
        <w:t>údajů ze SLDB jedná o nárůst o 7 555 osob (v roce 2021 žilo v Ostravě 36 426 osob s vysokoškolským vzděláním a v roce 2021 to bylo 43 981 osob).</w:t>
      </w:r>
      <w:r>
        <w:rPr>
          <w:rFonts w:ascii="Arial" w:hAnsi="Arial" w:cs="Arial"/>
        </w:rPr>
        <w:t xml:space="preserve"> Co se týká podílu vysokoškolsky vzdělaných obyvatel na celkovém počtu obyvatel města ve věku 15 a více let, tak v roce 2011 to bylo 14,4 % a nyní je to již 18,3 %.</w:t>
      </w:r>
    </w:p>
    <w:p w14:paraId="615DB95A" w14:textId="3435E2D0" w:rsidR="00F54A56" w:rsidRDefault="00F54A56" w:rsidP="00F54A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vzdělaností úzce souvisí i sledovaný ukazatel počtu vysokoškolských studentů ve městě. Zde je cílem zastavit trend poklesu počtu - v roce 2015 studovalo na VŠ v Ostravě ve všech formách studia celkem 24 466 studentů, v roce </w:t>
      </w:r>
      <w:proofErr w:type="gramStart"/>
      <w:r>
        <w:rPr>
          <w:rFonts w:ascii="Arial" w:hAnsi="Arial" w:cs="Arial"/>
        </w:rPr>
        <w:t>2019  jen</w:t>
      </w:r>
      <w:proofErr w:type="gramEnd"/>
      <w:r>
        <w:rPr>
          <w:rFonts w:ascii="Arial" w:hAnsi="Arial" w:cs="Arial"/>
        </w:rPr>
        <w:t xml:space="preserve"> 18 709 studentů. Trend klesání se však již snad podařilo zastavit, počet studentů VŠ se do roku 2021 zvýšil na 19 561 studentů. </w:t>
      </w:r>
    </w:p>
    <w:p w14:paraId="639C8EAE" w14:textId="77777777" w:rsidR="00F54A56" w:rsidRPr="00EB4DFA" w:rsidRDefault="00F54A56" w:rsidP="00F54A56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EB4DFA">
        <w:rPr>
          <w:rFonts w:ascii="Arial" w:hAnsi="Arial" w:cs="Arial"/>
          <w:b/>
          <w:bCs/>
        </w:rPr>
        <w:t>Realizace architektonických soutěží</w:t>
      </w:r>
    </w:p>
    <w:p w14:paraId="081A9303" w14:textId="124B0927" w:rsidR="00F54A56" w:rsidRPr="00AD4BEF" w:rsidRDefault="00F54A56" w:rsidP="00F54A56">
      <w:pPr>
        <w:jc w:val="both"/>
        <w:rPr>
          <w:rFonts w:ascii="Arial" w:hAnsi="Arial" w:cs="Arial"/>
          <w:highlight w:val="yellow"/>
        </w:rPr>
      </w:pPr>
      <w:r w:rsidRPr="00AD4BEF">
        <w:rPr>
          <w:rFonts w:ascii="Arial" w:hAnsi="Arial" w:cs="Arial"/>
        </w:rPr>
        <w:t xml:space="preserve">Realizací architektonických soutěží ve městě se systematicky uplatňují trendy prostorového plánování a urbanismu vyspělých měst, </w:t>
      </w:r>
      <w:r>
        <w:rPr>
          <w:rFonts w:ascii="Arial" w:hAnsi="Arial" w:cs="Arial"/>
        </w:rPr>
        <w:t xml:space="preserve">což </w:t>
      </w:r>
      <w:r w:rsidRPr="00AD4BEF">
        <w:rPr>
          <w:rFonts w:ascii="Arial" w:hAnsi="Arial" w:cs="Arial"/>
        </w:rPr>
        <w:t>Ostravě umož</w:t>
      </w:r>
      <w:r>
        <w:rPr>
          <w:rFonts w:ascii="Arial" w:hAnsi="Arial" w:cs="Arial"/>
        </w:rPr>
        <w:t>ňuje</w:t>
      </w:r>
      <w:r w:rsidRPr="00AD4BEF">
        <w:rPr>
          <w:rFonts w:ascii="Arial" w:hAnsi="Arial" w:cs="Arial"/>
        </w:rPr>
        <w:t xml:space="preserve"> realizovat kvalitní architekturu nebo funkční řešení veřejného prostoru, který je příjemný pro pobyt a pohyb lidí.</w:t>
      </w:r>
      <w:r>
        <w:rPr>
          <w:rFonts w:ascii="Arial" w:hAnsi="Arial" w:cs="Arial"/>
        </w:rPr>
        <w:t xml:space="preserve"> </w:t>
      </w:r>
      <w:r w:rsidRPr="008C6ED3">
        <w:rPr>
          <w:rFonts w:ascii="Arial" w:hAnsi="Arial" w:cs="Arial"/>
        </w:rPr>
        <w:t>Od roku 2016 bylo ve městě vyhlášeno 18 architektonických soutěží.</w:t>
      </w:r>
    </w:p>
    <w:p w14:paraId="7E869FD8" w14:textId="77777777" w:rsidR="00F54A56" w:rsidRPr="00EB4DFA" w:rsidRDefault="00F54A56" w:rsidP="00F54A56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EB4DFA">
        <w:rPr>
          <w:rFonts w:ascii="Arial" w:hAnsi="Arial" w:cs="Arial"/>
          <w:b/>
          <w:bCs/>
        </w:rPr>
        <w:t>Počet cizinců ve městě</w:t>
      </w:r>
    </w:p>
    <w:p w14:paraId="0DAF25CC" w14:textId="261AEBB2" w:rsidR="00F54A56" w:rsidRDefault="00F54A56" w:rsidP="00F54A56">
      <w:pPr>
        <w:jc w:val="both"/>
        <w:rPr>
          <w:rFonts w:ascii="Arial" w:hAnsi="Arial" w:cs="Arial"/>
        </w:rPr>
      </w:pPr>
      <w:r w:rsidRPr="009C76B1">
        <w:rPr>
          <w:rFonts w:ascii="Arial" w:hAnsi="Arial" w:cs="Arial"/>
        </w:rPr>
        <w:t>Jedním z cílů Ostravy jako metropole regionu je přitahovat a lákat lidi z ČR i ze zahraničí a</w:t>
      </w:r>
      <w:r>
        <w:rPr>
          <w:rFonts w:ascii="Arial" w:hAnsi="Arial" w:cs="Arial"/>
        </w:rPr>
        <w:t> </w:t>
      </w:r>
      <w:r w:rsidRPr="009C76B1">
        <w:rPr>
          <w:rFonts w:ascii="Arial" w:hAnsi="Arial" w:cs="Arial"/>
        </w:rPr>
        <w:t>nabízet jim pracovní příležitosti.</w:t>
      </w:r>
      <w:r>
        <w:rPr>
          <w:rFonts w:ascii="Arial" w:hAnsi="Arial" w:cs="Arial"/>
        </w:rPr>
        <w:t xml:space="preserve"> </w:t>
      </w:r>
      <w:r w:rsidRPr="009C76B1">
        <w:rPr>
          <w:rFonts w:ascii="Arial" w:hAnsi="Arial" w:cs="Arial"/>
        </w:rPr>
        <w:t xml:space="preserve">Nárůst počtu </w:t>
      </w:r>
      <w:r>
        <w:rPr>
          <w:rFonts w:ascii="Arial" w:hAnsi="Arial" w:cs="Arial"/>
        </w:rPr>
        <w:t xml:space="preserve">cizinců ve městě </w:t>
      </w:r>
      <w:r w:rsidRPr="009C76B1">
        <w:rPr>
          <w:rFonts w:ascii="Arial" w:hAnsi="Arial" w:cs="Arial"/>
        </w:rPr>
        <w:t>je předpokladem atraktivity ostravské metropolitní oblasti a zároveň podpo</w:t>
      </w:r>
      <w:r>
        <w:rPr>
          <w:rFonts w:ascii="Arial" w:hAnsi="Arial" w:cs="Arial"/>
        </w:rPr>
        <w:t>ruje</w:t>
      </w:r>
      <w:r w:rsidRPr="009C76B1">
        <w:rPr>
          <w:rFonts w:ascii="Arial" w:hAnsi="Arial" w:cs="Arial"/>
        </w:rPr>
        <w:t xml:space="preserve"> výkonnost místní ekonomiky.</w:t>
      </w:r>
      <w:r>
        <w:rPr>
          <w:rFonts w:ascii="Arial" w:hAnsi="Arial" w:cs="Arial"/>
        </w:rPr>
        <w:t xml:space="preserve"> K 1. lednu 2023 žilo v Ostravě, dle údajů MV ČR, celkem 20 262 cizinců, což bylo 6,8 % z celkového počtu obyvatel města. Oproti roku 2016, kdy Strategický plán vznikal, to je nárůst o téměř 10 500 cizinců (cizinci v roce 2016 tvořili 3,3 % všech obyvatel města). Současný nárůst počtu cizinců je způsobeno zejména příchodem obyvatel z válkou zasažené </w:t>
      </w:r>
      <w:proofErr w:type="gramStart"/>
      <w:r>
        <w:rPr>
          <w:rFonts w:ascii="Arial" w:hAnsi="Arial" w:cs="Arial"/>
        </w:rPr>
        <w:t>Ukrajiny -pobytové</w:t>
      </w:r>
      <w:proofErr w:type="gramEnd"/>
      <w:r>
        <w:rPr>
          <w:rFonts w:ascii="Arial" w:hAnsi="Arial" w:cs="Arial"/>
        </w:rPr>
        <w:t xml:space="preserve"> oprávnění přímo v souvislosti s válkou na Ukrajině mělo poté 7 618 z nich. Počet cizinců ve městě rostl i před válkou na Ukrajině.</w:t>
      </w:r>
    </w:p>
    <w:p w14:paraId="1349AE32" w14:textId="77777777" w:rsidR="00F54A56" w:rsidRPr="00EB4DFA" w:rsidRDefault="00F54A56" w:rsidP="00F54A56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EB4DFA">
        <w:rPr>
          <w:rFonts w:ascii="Arial" w:hAnsi="Arial" w:cs="Arial"/>
          <w:b/>
          <w:bCs/>
        </w:rPr>
        <w:t>Průměrná mzda</w:t>
      </w:r>
    </w:p>
    <w:p w14:paraId="0CAC78A7" w14:textId="6EEA8B54" w:rsidR="00F54A56" w:rsidRPr="00136468" w:rsidRDefault="00F54A56" w:rsidP="00F54A56">
      <w:pPr>
        <w:jc w:val="both"/>
        <w:rPr>
          <w:rFonts w:ascii="Arial" w:hAnsi="Arial" w:cs="Arial"/>
          <w:highlight w:val="yellow"/>
        </w:rPr>
      </w:pPr>
      <w:r w:rsidRPr="000B6E46">
        <w:rPr>
          <w:rFonts w:ascii="Arial" w:hAnsi="Arial" w:cs="Arial"/>
        </w:rPr>
        <w:t xml:space="preserve">Průměrná mzda v MSK je sice stále o více než 3 000 Kč nižší, než je celorepublikový průměr, ale v ročním porovnání se </w:t>
      </w:r>
      <w:proofErr w:type="gramStart"/>
      <w:r w:rsidRPr="000B6E46">
        <w:rPr>
          <w:rFonts w:ascii="Arial" w:hAnsi="Arial" w:cs="Arial"/>
        </w:rPr>
        <w:t xml:space="preserve">zvyšuje </w:t>
      </w:r>
      <w:r>
        <w:rPr>
          <w:rFonts w:ascii="Arial" w:hAnsi="Arial" w:cs="Arial"/>
        </w:rPr>
        <w:t>-</w:t>
      </w:r>
      <w:r w:rsidRPr="000B6E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</w:t>
      </w:r>
      <w:proofErr w:type="gramEnd"/>
      <w:r>
        <w:rPr>
          <w:rFonts w:ascii="Arial" w:hAnsi="Arial" w:cs="Arial"/>
        </w:rPr>
        <w:t xml:space="preserve"> ČSÚ </w:t>
      </w:r>
      <w:r w:rsidRPr="000B6E46">
        <w:rPr>
          <w:rFonts w:ascii="Arial" w:hAnsi="Arial" w:cs="Arial"/>
        </w:rPr>
        <w:t>ve 3. čtvrtletí 2022 činila 36 588 Kč a</w:t>
      </w:r>
      <w:r>
        <w:rPr>
          <w:rFonts w:ascii="Arial" w:hAnsi="Arial" w:cs="Arial"/>
        </w:rPr>
        <w:t> </w:t>
      </w:r>
      <w:r w:rsidRPr="000B6E46">
        <w:rPr>
          <w:rFonts w:ascii="Arial" w:hAnsi="Arial" w:cs="Arial"/>
        </w:rPr>
        <w:t>proti stejnému období předchozího roku se zvýšila o 7,1 %</w:t>
      </w:r>
      <w:r>
        <w:rPr>
          <w:rFonts w:ascii="Arial" w:hAnsi="Arial" w:cs="Arial"/>
        </w:rPr>
        <w:t xml:space="preserve"> (o 2 413 Kč), což byl nejvyšší nárůst mezi kraji v ČR. </w:t>
      </w:r>
      <w:r w:rsidRPr="000B6E46">
        <w:rPr>
          <w:rFonts w:ascii="Arial" w:hAnsi="Arial" w:cs="Arial"/>
        </w:rPr>
        <w:t>Průměrná hrubá měsíční mzda je podíl mzdových prostředků (vč.</w:t>
      </w:r>
      <w:r w:rsidR="006A766C">
        <w:rPr>
          <w:rFonts w:ascii="Arial" w:hAnsi="Arial" w:cs="Arial"/>
        </w:rPr>
        <w:t> </w:t>
      </w:r>
      <w:r w:rsidRPr="000B6E46">
        <w:rPr>
          <w:rFonts w:ascii="Arial" w:hAnsi="Arial" w:cs="Arial"/>
        </w:rPr>
        <w:t>příplatků za přesčas, odměn, náhrad mzdy atd.) připadající na jednoho zaměstnance za</w:t>
      </w:r>
      <w:r w:rsidR="006A766C">
        <w:rPr>
          <w:rFonts w:ascii="Arial" w:hAnsi="Arial" w:cs="Arial"/>
        </w:rPr>
        <w:t> </w:t>
      </w:r>
      <w:r w:rsidRPr="000B6E46">
        <w:rPr>
          <w:rFonts w:ascii="Arial" w:hAnsi="Arial" w:cs="Arial"/>
        </w:rPr>
        <w:t>měsíc.</w:t>
      </w:r>
    </w:p>
    <w:p w14:paraId="187B31AB" w14:textId="2DED67DC" w:rsidR="00F54A56" w:rsidRPr="00F54A56" w:rsidRDefault="00F54A56" w:rsidP="00F54A56">
      <w:pPr>
        <w:jc w:val="both"/>
        <w:rPr>
          <w:rFonts w:ascii="Arial" w:hAnsi="Arial" w:cs="Arial"/>
        </w:rPr>
      </w:pPr>
      <w:r w:rsidRPr="00EB4DFA">
        <w:rPr>
          <w:rFonts w:ascii="Arial" w:hAnsi="Arial" w:cs="Arial"/>
          <w:b/>
          <w:bCs/>
        </w:rPr>
        <w:t>Aktuálně se také pracuje na vyhodnocení správnosti nastavení výše uvedených ukazatelů a také priorit, aktivit a klíčových oblastí změn, které jsou součástí Strategického plánu. Výsledky tohoto interního vyhodnocení budou diskutovány a</w:t>
      </w:r>
      <w:r w:rsidR="006A766C">
        <w:rPr>
          <w:rFonts w:ascii="Arial" w:hAnsi="Arial" w:cs="Arial"/>
          <w:b/>
          <w:bCs/>
        </w:rPr>
        <w:t> </w:t>
      </w:r>
      <w:r w:rsidRPr="00EB4DFA">
        <w:rPr>
          <w:rFonts w:ascii="Arial" w:hAnsi="Arial" w:cs="Arial"/>
          <w:b/>
          <w:bCs/>
        </w:rPr>
        <w:t xml:space="preserve">verifikovány v rámci analytické části tvorby Strategického </w:t>
      </w:r>
      <w:proofErr w:type="gramStart"/>
      <w:r w:rsidRPr="00EB4DFA">
        <w:rPr>
          <w:rFonts w:ascii="Arial" w:hAnsi="Arial" w:cs="Arial"/>
          <w:b/>
          <w:bCs/>
        </w:rPr>
        <w:t>plánu - na</w:t>
      </w:r>
      <w:proofErr w:type="gramEnd"/>
      <w:r w:rsidRPr="00EB4DFA">
        <w:rPr>
          <w:rFonts w:ascii="Arial" w:hAnsi="Arial" w:cs="Arial"/>
          <w:b/>
          <w:bCs/>
        </w:rPr>
        <w:t xml:space="preserve"> pracovních skupinách, individuálních rozhovorech s odborníky, řídícím výboru atd.</w:t>
      </w:r>
      <w:r>
        <w:rPr>
          <w:rFonts w:ascii="Arial" w:hAnsi="Arial" w:cs="Arial"/>
          <w:b/>
          <w:bCs/>
        </w:rPr>
        <w:t xml:space="preserve"> - a budou součástí strategického dokumentu.</w:t>
      </w:r>
    </w:p>
    <w:sectPr w:rsidR="00F54A56" w:rsidRPr="00F54A5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29A04" w14:textId="77777777" w:rsidR="00B0593A" w:rsidRDefault="00B0593A" w:rsidP="007D284A">
      <w:pPr>
        <w:spacing w:after="0" w:line="240" w:lineRule="auto"/>
      </w:pPr>
      <w:r>
        <w:separator/>
      </w:r>
    </w:p>
  </w:endnote>
  <w:endnote w:type="continuationSeparator" w:id="0">
    <w:p w14:paraId="5B4EC91D" w14:textId="77777777" w:rsidR="00B0593A" w:rsidRDefault="00B0593A" w:rsidP="007D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989089957"/>
      <w:docPartObj>
        <w:docPartGallery w:val="Page Numbers (Bottom of Page)"/>
        <w:docPartUnique/>
      </w:docPartObj>
    </w:sdtPr>
    <w:sdtEndPr/>
    <w:sdtContent>
      <w:p w14:paraId="4003B431" w14:textId="3A48B4DD" w:rsidR="007D284A" w:rsidRPr="007D284A" w:rsidRDefault="007D284A">
        <w:pPr>
          <w:pStyle w:val="Zpat"/>
          <w:jc w:val="center"/>
          <w:rPr>
            <w:rFonts w:ascii="Arial" w:hAnsi="Arial" w:cs="Arial"/>
          </w:rPr>
        </w:pPr>
        <w:r w:rsidRPr="007D284A">
          <w:rPr>
            <w:rFonts w:ascii="Arial" w:hAnsi="Arial" w:cs="Arial"/>
          </w:rPr>
          <w:fldChar w:fldCharType="begin"/>
        </w:r>
        <w:r w:rsidRPr="007D284A">
          <w:rPr>
            <w:rFonts w:ascii="Arial" w:hAnsi="Arial" w:cs="Arial"/>
          </w:rPr>
          <w:instrText>PAGE   \* MERGEFORMAT</w:instrText>
        </w:r>
        <w:r w:rsidRPr="007D284A">
          <w:rPr>
            <w:rFonts w:ascii="Arial" w:hAnsi="Arial" w:cs="Arial"/>
          </w:rPr>
          <w:fldChar w:fldCharType="separate"/>
        </w:r>
        <w:r w:rsidRPr="007D284A">
          <w:rPr>
            <w:rFonts w:ascii="Arial" w:hAnsi="Arial" w:cs="Arial"/>
          </w:rPr>
          <w:t>2</w:t>
        </w:r>
        <w:r w:rsidRPr="007D284A">
          <w:rPr>
            <w:rFonts w:ascii="Arial" w:hAnsi="Arial" w:cs="Arial"/>
          </w:rPr>
          <w:fldChar w:fldCharType="end"/>
        </w:r>
      </w:p>
    </w:sdtContent>
  </w:sdt>
  <w:p w14:paraId="1EB43893" w14:textId="77777777" w:rsidR="007D284A" w:rsidRPr="007D284A" w:rsidRDefault="007D284A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31396" w14:textId="77777777" w:rsidR="00B0593A" w:rsidRDefault="00B0593A" w:rsidP="007D284A">
      <w:pPr>
        <w:spacing w:after="0" w:line="240" w:lineRule="auto"/>
      </w:pPr>
      <w:r>
        <w:separator/>
      </w:r>
    </w:p>
  </w:footnote>
  <w:footnote w:type="continuationSeparator" w:id="0">
    <w:p w14:paraId="07954932" w14:textId="77777777" w:rsidR="00B0593A" w:rsidRDefault="00B0593A" w:rsidP="007D2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0345"/>
    <w:multiLevelType w:val="hybridMultilevel"/>
    <w:tmpl w:val="2B945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3860"/>
    <w:multiLevelType w:val="hybridMultilevel"/>
    <w:tmpl w:val="1228F290"/>
    <w:lvl w:ilvl="0" w:tplc="EEC49C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95A71"/>
    <w:multiLevelType w:val="hybridMultilevel"/>
    <w:tmpl w:val="BDC0E168"/>
    <w:lvl w:ilvl="0" w:tplc="8FB458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037D3"/>
    <w:multiLevelType w:val="hybridMultilevel"/>
    <w:tmpl w:val="B146422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ADD4C1A"/>
    <w:multiLevelType w:val="hybridMultilevel"/>
    <w:tmpl w:val="82B6F00E"/>
    <w:lvl w:ilvl="0" w:tplc="8FB458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B719D"/>
    <w:multiLevelType w:val="hybridMultilevel"/>
    <w:tmpl w:val="50A2C5CE"/>
    <w:lvl w:ilvl="0" w:tplc="B400DB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F20EB"/>
    <w:multiLevelType w:val="hybridMultilevel"/>
    <w:tmpl w:val="2B70E8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30DED"/>
    <w:multiLevelType w:val="hybridMultilevel"/>
    <w:tmpl w:val="E5848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603390">
    <w:abstractNumId w:val="2"/>
  </w:num>
  <w:num w:numId="2" w16cid:durableId="109594301">
    <w:abstractNumId w:val="4"/>
  </w:num>
  <w:num w:numId="3" w16cid:durableId="800076094">
    <w:abstractNumId w:val="5"/>
  </w:num>
  <w:num w:numId="4" w16cid:durableId="2083679402">
    <w:abstractNumId w:val="0"/>
  </w:num>
  <w:num w:numId="5" w16cid:durableId="998659821">
    <w:abstractNumId w:val="1"/>
  </w:num>
  <w:num w:numId="6" w16cid:durableId="578750800">
    <w:abstractNumId w:val="6"/>
  </w:num>
  <w:num w:numId="7" w16cid:durableId="227225876">
    <w:abstractNumId w:val="7"/>
  </w:num>
  <w:num w:numId="8" w16cid:durableId="815494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D5"/>
    <w:rsid w:val="00015B2C"/>
    <w:rsid w:val="0002283F"/>
    <w:rsid w:val="00032CF7"/>
    <w:rsid w:val="0003363C"/>
    <w:rsid w:val="00040C4C"/>
    <w:rsid w:val="00040E59"/>
    <w:rsid w:val="00044297"/>
    <w:rsid w:val="000473D5"/>
    <w:rsid w:val="00052046"/>
    <w:rsid w:val="0006325D"/>
    <w:rsid w:val="00066328"/>
    <w:rsid w:val="00072E8B"/>
    <w:rsid w:val="000745D1"/>
    <w:rsid w:val="000A5906"/>
    <w:rsid w:val="000B035C"/>
    <w:rsid w:val="000B6E46"/>
    <w:rsid w:val="000C0AA6"/>
    <w:rsid w:val="000D42CE"/>
    <w:rsid w:val="000E2430"/>
    <w:rsid w:val="000F0D80"/>
    <w:rsid w:val="001122D2"/>
    <w:rsid w:val="00113CE8"/>
    <w:rsid w:val="00134882"/>
    <w:rsid w:val="00136468"/>
    <w:rsid w:val="001436C2"/>
    <w:rsid w:val="00157712"/>
    <w:rsid w:val="00163536"/>
    <w:rsid w:val="00172BBA"/>
    <w:rsid w:val="00173589"/>
    <w:rsid w:val="001A0150"/>
    <w:rsid w:val="001A1692"/>
    <w:rsid w:val="001A3E92"/>
    <w:rsid w:val="001C4B75"/>
    <w:rsid w:val="001E4A1F"/>
    <w:rsid w:val="001F51D5"/>
    <w:rsid w:val="00203335"/>
    <w:rsid w:val="002148A8"/>
    <w:rsid w:val="00234A45"/>
    <w:rsid w:val="00240C7D"/>
    <w:rsid w:val="002470AD"/>
    <w:rsid w:val="00253844"/>
    <w:rsid w:val="00255080"/>
    <w:rsid w:val="0025683F"/>
    <w:rsid w:val="00270D4C"/>
    <w:rsid w:val="00277427"/>
    <w:rsid w:val="0029773D"/>
    <w:rsid w:val="002A5086"/>
    <w:rsid w:val="002B3B0E"/>
    <w:rsid w:val="002B40EB"/>
    <w:rsid w:val="002C6838"/>
    <w:rsid w:val="002E3F37"/>
    <w:rsid w:val="002E7365"/>
    <w:rsid w:val="002F02B7"/>
    <w:rsid w:val="00312A78"/>
    <w:rsid w:val="003146DB"/>
    <w:rsid w:val="00316606"/>
    <w:rsid w:val="00332707"/>
    <w:rsid w:val="00343E23"/>
    <w:rsid w:val="00346156"/>
    <w:rsid w:val="00351978"/>
    <w:rsid w:val="00352CB9"/>
    <w:rsid w:val="00365622"/>
    <w:rsid w:val="00382F65"/>
    <w:rsid w:val="00393384"/>
    <w:rsid w:val="003B2EAD"/>
    <w:rsid w:val="003C6403"/>
    <w:rsid w:val="003C79EB"/>
    <w:rsid w:val="003F0C43"/>
    <w:rsid w:val="00440C44"/>
    <w:rsid w:val="00487C1F"/>
    <w:rsid w:val="00493451"/>
    <w:rsid w:val="00496636"/>
    <w:rsid w:val="004B5C5F"/>
    <w:rsid w:val="004B6E3C"/>
    <w:rsid w:val="004D0784"/>
    <w:rsid w:val="004D089E"/>
    <w:rsid w:val="004D7372"/>
    <w:rsid w:val="0050691F"/>
    <w:rsid w:val="00526D3B"/>
    <w:rsid w:val="00546399"/>
    <w:rsid w:val="00570E3E"/>
    <w:rsid w:val="0057100F"/>
    <w:rsid w:val="00572FBB"/>
    <w:rsid w:val="00587F39"/>
    <w:rsid w:val="005B1FC2"/>
    <w:rsid w:val="005C03E7"/>
    <w:rsid w:val="005D6B74"/>
    <w:rsid w:val="005D73F6"/>
    <w:rsid w:val="005E7A86"/>
    <w:rsid w:val="006046AF"/>
    <w:rsid w:val="00641E7A"/>
    <w:rsid w:val="00650FCC"/>
    <w:rsid w:val="00652662"/>
    <w:rsid w:val="00657C65"/>
    <w:rsid w:val="00657F92"/>
    <w:rsid w:val="00671E5A"/>
    <w:rsid w:val="00681234"/>
    <w:rsid w:val="006877E8"/>
    <w:rsid w:val="006951A8"/>
    <w:rsid w:val="006A766C"/>
    <w:rsid w:val="006B411A"/>
    <w:rsid w:val="006F2D5E"/>
    <w:rsid w:val="00701188"/>
    <w:rsid w:val="007115E0"/>
    <w:rsid w:val="0072342F"/>
    <w:rsid w:val="00740D83"/>
    <w:rsid w:val="0074137F"/>
    <w:rsid w:val="00745B50"/>
    <w:rsid w:val="00754010"/>
    <w:rsid w:val="00782AD6"/>
    <w:rsid w:val="007A2C98"/>
    <w:rsid w:val="007A75E2"/>
    <w:rsid w:val="007B0E2B"/>
    <w:rsid w:val="007D284A"/>
    <w:rsid w:val="007D308F"/>
    <w:rsid w:val="007D6C30"/>
    <w:rsid w:val="00804E4F"/>
    <w:rsid w:val="00806D44"/>
    <w:rsid w:val="00834447"/>
    <w:rsid w:val="00863D4D"/>
    <w:rsid w:val="00870AC8"/>
    <w:rsid w:val="0087270F"/>
    <w:rsid w:val="00881C81"/>
    <w:rsid w:val="00886DC6"/>
    <w:rsid w:val="00887D0F"/>
    <w:rsid w:val="00893573"/>
    <w:rsid w:val="00893962"/>
    <w:rsid w:val="008C6ED3"/>
    <w:rsid w:val="008D2BB7"/>
    <w:rsid w:val="008E0343"/>
    <w:rsid w:val="008E44BF"/>
    <w:rsid w:val="008E63B9"/>
    <w:rsid w:val="008E77D3"/>
    <w:rsid w:val="008E7A35"/>
    <w:rsid w:val="008F76C4"/>
    <w:rsid w:val="00901B58"/>
    <w:rsid w:val="00915692"/>
    <w:rsid w:val="0092325C"/>
    <w:rsid w:val="009270CD"/>
    <w:rsid w:val="00937A78"/>
    <w:rsid w:val="00965F1B"/>
    <w:rsid w:val="009708B5"/>
    <w:rsid w:val="0097495E"/>
    <w:rsid w:val="00984AC6"/>
    <w:rsid w:val="0099142D"/>
    <w:rsid w:val="00992F84"/>
    <w:rsid w:val="00996310"/>
    <w:rsid w:val="009A0104"/>
    <w:rsid w:val="009C76B1"/>
    <w:rsid w:val="009D34DA"/>
    <w:rsid w:val="009D70A3"/>
    <w:rsid w:val="009F5795"/>
    <w:rsid w:val="00A135B8"/>
    <w:rsid w:val="00A251A8"/>
    <w:rsid w:val="00A3124F"/>
    <w:rsid w:val="00A33BFD"/>
    <w:rsid w:val="00A40A6D"/>
    <w:rsid w:val="00A43E47"/>
    <w:rsid w:val="00A54E5E"/>
    <w:rsid w:val="00A64185"/>
    <w:rsid w:val="00A6479B"/>
    <w:rsid w:val="00A67BDE"/>
    <w:rsid w:val="00A82BB4"/>
    <w:rsid w:val="00A841E2"/>
    <w:rsid w:val="00AA1C58"/>
    <w:rsid w:val="00AA6B1E"/>
    <w:rsid w:val="00AD4BEF"/>
    <w:rsid w:val="00AF018F"/>
    <w:rsid w:val="00B0593A"/>
    <w:rsid w:val="00B21102"/>
    <w:rsid w:val="00B309AC"/>
    <w:rsid w:val="00B40E5A"/>
    <w:rsid w:val="00B46699"/>
    <w:rsid w:val="00B55993"/>
    <w:rsid w:val="00B66918"/>
    <w:rsid w:val="00B84B7F"/>
    <w:rsid w:val="00B96A91"/>
    <w:rsid w:val="00BB07EF"/>
    <w:rsid w:val="00BB7863"/>
    <w:rsid w:val="00BC7D2E"/>
    <w:rsid w:val="00BF4F14"/>
    <w:rsid w:val="00BF620E"/>
    <w:rsid w:val="00BF6B7C"/>
    <w:rsid w:val="00BF7538"/>
    <w:rsid w:val="00C41B18"/>
    <w:rsid w:val="00C618EE"/>
    <w:rsid w:val="00C72A31"/>
    <w:rsid w:val="00C8397C"/>
    <w:rsid w:val="00C91930"/>
    <w:rsid w:val="00CC27DF"/>
    <w:rsid w:val="00CD0333"/>
    <w:rsid w:val="00D039E4"/>
    <w:rsid w:val="00D07091"/>
    <w:rsid w:val="00D15440"/>
    <w:rsid w:val="00D27F3E"/>
    <w:rsid w:val="00D56BA4"/>
    <w:rsid w:val="00D64770"/>
    <w:rsid w:val="00D72D2C"/>
    <w:rsid w:val="00D766B3"/>
    <w:rsid w:val="00D8031A"/>
    <w:rsid w:val="00DA64DA"/>
    <w:rsid w:val="00DC6A5E"/>
    <w:rsid w:val="00DD6AC2"/>
    <w:rsid w:val="00DD717B"/>
    <w:rsid w:val="00E17B74"/>
    <w:rsid w:val="00E529A8"/>
    <w:rsid w:val="00E729C6"/>
    <w:rsid w:val="00E73DF9"/>
    <w:rsid w:val="00E8392F"/>
    <w:rsid w:val="00EA0F1C"/>
    <w:rsid w:val="00EB4DFA"/>
    <w:rsid w:val="00EB5941"/>
    <w:rsid w:val="00F47465"/>
    <w:rsid w:val="00F54A56"/>
    <w:rsid w:val="00F55A94"/>
    <w:rsid w:val="00F70ACD"/>
    <w:rsid w:val="00F77D5D"/>
    <w:rsid w:val="00F81BF0"/>
    <w:rsid w:val="00F87004"/>
    <w:rsid w:val="00FB7A85"/>
    <w:rsid w:val="00FC2A61"/>
    <w:rsid w:val="00FE1F55"/>
    <w:rsid w:val="00FE2D00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B9F2"/>
  <w15:docId w15:val="{68A412BD-B683-4954-9105-5E2BBA38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73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73D5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0473D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B411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2C9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D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284A"/>
  </w:style>
  <w:style w:type="paragraph" w:styleId="Zpat">
    <w:name w:val="footer"/>
    <w:basedOn w:val="Normln"/>
    <w:link w:val="ZpatChar"/>
    <w:uiPriority w:val="99"/>
    <w:unhideWhenUsed/>
    <w:rsid w:val="007D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284A"/>
  </w:style>
  <w:style w:type="character" w:styleId="Nevyeenzmnka">
    <w:name w:val="Unresolved Mention"/>
    <w:basedOn w:val="Standardnpsmoodstavce"/>
    <w:uiPriority w:val="99"/>
    <w:semiHidden/>
    <w:unhideWhenUsed/>
    <w:rsid w:val="002A508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7495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D6A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6A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6A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6A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6AC2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F4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jn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ajno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D46D4-758D-4144-BDE7-2915EDD3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1773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Tieftrunk Lucie</dc:creator>
  <cp:lastModifiedBy>Horák Jan</cp:lastModifiedBy>
  <cp:revision>3</cp:revision>
  <cp:lastPrinted>2023-02-07T07:08:00Z</cp:lastPrinted>
  <dcterms:created xsi:type="dcterms:W3CDTF">2023-02-15T09:43:00Z</dcterms:created>
  <dcterms:modified xsi:type="dcterms:W3CDTF">2023-02-15T11:16:00Z</dcterms:modified>
</cp:coreProperties>
</file>