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806F" w14:textId="08B07D1A" w:rsidR="00DD0ABC" w:rsidRPr="00F348F2" w:rsidRDefault="005B42D8">
      <w:pPr>
        <w:rPr>
          <w:b/>
          <w:bCs/>
          <w:sz w:val="28"/>
          <w:szCs w:val="28"/>
        </w:rPr>
      </w:pPr>
      <w:r w:rsidRPr="00F348F2">
        <w:rPr>
          <w:b/>
          <w:bCs/>
          <w:sz w:val="28"/>
          <w:szCs w:val="28"/>
        </w:rPr>
        <w:t>Důvodová zpráva</w:t>
      </w:r>
    </w:p>
    <w:p w14:paraId="2831B267" w14:textId="0E175AFC" w:rsidR="00E060D5" w:rsidRDefault="001D7B18" w:rsidP="001D7B18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záměr města prodat</w:t>
      </w:r>
      <w:r w:rsidRPr="001C3E75">
        <w:rPr>
          <w:b/>
          <w:bCs/>
          <w:sz w:val="22"/>
          <w:szCs w:val="22"/>
        </w:rPr>
        <w:t xml:space="preserve"> </w:t>
      </w:r>
      <w:r w:rsidR="00E174A2">
        <w:rPr>
          <w:b/>
          <w:bCs/>
          <w:sz w:val="22"/>
          <w:szCs w:val="22"/>
        </w:rPr>
        <w:t xml:space="preserve">pozemek </w:t>
      </w:r>
      <w:r w:rsidRPr="001C3E75">
        <w:rPr>
          <w:b/>
          <w:bCs/>
          <w:sz w:val="22"/>
          <w:szCs w:val="22"/>
        </w:rPr>
        <w:t>p.</w:t>
      </w:r>
      <w:r>
        <w:rPr>
          <w:b/>
          <w:bCs/>
          <w:sz w:val="22"/>
          <w:szCs w:val="22"/>
        </w:rPr>
        <w:t xml:space="preserve"> </w:t>
      </w:r>
      <w:r w:rsidRPr="001C3E75">
        <w:rPr>
          <w:b/>
          <w:bCs/>
          <w:sz w:val="22"/>
          <w:szCs w:val="22"/>
        </w:rPr>
        <w:t>p.</w:t>
      </w:r>
      <w:r>
        <w:rPr>
          <w:b/>
          <w:bCs/>
          <w:sz w:val="22"/>
          <w:szCs w:val="22"/>
        </w:rPr>
        <w:t xml:space="preserve"> </w:t>
      </w:r>
      <w:r w:rsidRPr="001C3E75">
        <w:rPr>
          <w:b/>
          <w:bCs/>
          <w:sz w:val="22"/>
          <w:szCs w:val="22"/>
        </w:rPr>
        <w:t xml:space="preserve">č. </w:t>
      </w:r>
      <w:r w:rsidR="00E174A2">
        <w:rPr>
          <w:b/>
          <w:bCs/>
          <w:sz w:val="22"/>
        </w:rPr>
        <w:t>369</w:t>
      </w:r>
      <w:r>
        <w:rPr>
          <w:b/>
          <w:bCs/>
          <w:sz w:val="22"/>
        </w:rPr>
        <w:t>/</w:t>
      </w:r>
      <w:r w:rsidR="00E174A2">
        <w:rPr>
          <w:b/>
          <w:bCs/>
          <w:sz w:val="22"/>
        </w:rPr>
        <w:t>4 a pozemek p. č. st. 590, jehož součástí je stavba č. p. 624, obojí</w:t>
      </w:r>
      <w:r>
        <w:rPr>
          <w:b/>
          <w:bCs/>
          <w:sz w:val="22"/>
          <w:szCs w:val="22"/>
        </w:rPr>
        <w:t xml:space="preserve"> v k. ú. Přívoz, obec Ostrava, ve vlastnictví statutárního města Ostravy, </w:t>
      </w:r>
      <w:r w:rsidR="00AD5241">
        <w:rPr>
          <w:b/>
          <w:bCs/>
          <w:sz w:val="22"/>
          <w:szCs w:val="22"/>
        </w:rPr>
        <w:t>vše svěřeno</w:t>
      </w:r>
      <w:r>
        <w:rPr>
          <w:b/>
          <w:bCs/>
          <w:sz w:val="22"/>
          <w:szCs w:val="22"/>
        </w:rPr>
        <w:t xml:space="preserve"> městskému obvodu </w:t>
      </w:r>
      <w:r>
        <w:rPr>
          <w:b/>
          <w:bCs/>
          <w:sz w:val="22"/>
        </w:rPr>
        <w:t>Morav</w:t>
      </w:r>
      <w:r>
        <w:rPr>
          <w:b/>
          <w:bCs/>
          <w:sz w:val="22"/>
          <w:szCs w:val="22"/>
        </w:rPr>
        <w:t>ská Ostrava</w:t>
      </w:r>
      <w:r>
        <w:rPr>
          <w:b/>
          <w:bCs/>
          <w:sz w:val="22"/>
        </w:rPr>
        <w:t xml:space="preserve"> a Přívoz</w:t>
      </w:r>
      <w:r w:rsidR="00D67B5E" w:rsidRPr="00B24B2C">
        <w:rPr>
          <w:b/>
          <w:bCs/>
          <w:sz w:val="22"/>
        </w:rPr>
        <w:t>;</w:t>
      </w:r>
    </w:p>
    <w:p w14:paraId="7F44C70E" w14:textId="5FC04563" w:rsidR="00E060D5" w:rsidRPr="00E174A2" w:rsidRDefault="00E174A2" w:rsidP="001D7B18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</w:rPr>
        <w:t xml:space="preserve">Žádost o schválení záměru podal </w:t>
      </w:r>
      <w:r w:rsidR="00AD5241">
        <w:rPr>
          <w:b/>
          <w:bCs/>
          <w:sz w:val="22"/>
        </w:rPr>
        <w:t>m</w:t>
      </w:r>
      <w:r>
        <w:rPr>
          <w:b/>
          <w:bCs/>
          <w:sz w:val="22"/>
        </w:rPr>
        <w:t>ěstský obvod Moravská Ostrava a Přívoz</w:t>
      </w:r>
      <w:r w:rsidR="00D67B5E" w:rsidRPr="00B24B2C">
        <w:rPr>
          <w:b/>
          <w:bCs/>
          <w:sz w:val="22"/>
        </w:rPr>
        <w:t>;</w:t>
      </w:r>
    </w:p>
    <w:p w14:paraId="593098C4" w14:textId="613419E3" w:rsidR="00E174A2" w:rsidRPr="00E060D5" w:rsidRDefault="00E174A2" w:rsidP="001D7B18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</w:rPr>
        <w:t>Žadatelem o odkoupení obou pozemků je společnost Odra Styl a.s., se sídlem Kališní 148/12, Stará Bělá, 724 00 Ostrava, IČO 087 71</w:t>
      </w:r>
      <w:r w:rsidR="00D67B5E">
        <w:rPr>
          <w:b/>
          <w:bCs/>
          <w:sz w:val="22"/>
        </w:rPr>
        <w:t> </w:t>
      </w:r>
      <w:r>
        <w:rPr>
          <w:b/>
          <w:bCs/>
          <w:sz w:val="22"/>
        </w:rPr>
        <w:t>952</w:t>
      </w:r>
      <w:r w:rsidR="00D67B5E" w:rsidRPr="00B24B2C">
        <w:rPr>
          <w:b/>
          <w:bCs/>
          <w:sz w:val="22"/>
        </w:rPr>
        <w:t>;</w:t>
      </w:r>
    </w:p>
    <w:p w14:paraId="5C3EE6F7" w14:textId="6AFFFF8F" w:rsidR="006813A7" w:rsidRPr="00C138D3" w:rsidRDefault="00F348F2" w:rsidP="006813A7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Účelem koupě je </w:t>
      </w:r>
      <w:r w:rsidR="00E174A2">
        <w:rPr>
          <w:b/>
          <w:bCs/>
          <w:sz w:val="22"/>
          <w:szCs w:val="22"/>
        </w:rPr>
        <w:t>rozšíření prodejního areálu, který se nachází mimo jiné na pozemku p.</w:t>
      </w:r>
      <w:r w:rsidR="00AD5241">
        <w:rPr>
          <w:b/>
          <w:bCs/>
          <w:sz w:val="22"/>
          <w:szCs w:val="22"/>
        </w:rPr>
        <w:t> </w:t>
      </w:r>
      <w:r w:rsidR="00E174A2">
        <w:rPr>
          <w:b/>
          <w:bCs/>
          <w:sz w:val="22"/>
          <w:szCs w:val="22"/>
        </w:rPr>
        <w:t>p.</w:t>
      </w:r>
      <w:r w:rsidR="00AD5241">
        <w:rPr>
          <w:b/>
          <w:bCs/>
          <w:sz w:val="22"/>
          <w:szCs w:val="22"/>
        </w:rPr>
        <w:t> </w:t>
      </w:r>
      <w:r w:rsidR="00E174A2">
        <w:rPr>
          <w:b/>
          <w:bCs/>
          <w:sz w:val="22"/>
          <w:szCs w:val="22"/>
        </w:rPr>
        <w:t>č. 365/1 ve vlastnictví Žadatele</w:t>
      </w:r>
      <w:r w:rsidR="00D67B5E" w:rsidRPr="00B24B2C">
        <w:rPr>
          <w:b/>
          <w:bCs/>
          <w:sz w:val="22"/>
        </w:rPr>
        <w:t>;</w:t>
      </w:r>
    </w:p>
    <w:p w14:paraId="60E839A5" w14:textId="5112C8A1" w:rsidR="00C138D3" w:rsidRPr="008D32E8" w:rsidRDefault="00C138D3" w:rsidP="006813A7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 w:rsidRPr="008A09E7">
        <w:rPr>
          <w:b/>
          <w:bCs/>
          <w:sz w:val="22"/>
        </w:rPr>
        <w:t>Prodej</w:t>
      </w:r>
      <w:r w:rsidR="00B44D82" w:rsidRPr="008A09E7">
        <w:rPr>
          <w:b/>
          <w:bCs/>
          <w:sz w:val="22"/>
        </w:rPr>
        <w:t xml:space="preserve">em dojde k rozšíření nabídky služeb v dané lokalitě </w:t>
      </w:r>
      <w:r w:rsidR="00B44D82" w:rsidRPr="008A09E7">
        <w:rPr>
          <w:b/>
          <w:bCs/>
          <w:sz w:val="22"/>
          <w:u w:val="single"/>
        </w:rPr>
        <w:t xml:space="preserve">a podpoří se tak místní růst </w:t>
      </w:r>
      <w:r w:rsidR="00B44D82" w:rsidRPr="008A09E7">
        <w:rPr>
          <w:b/>
          <w:bCs/>
          <w:sz w:val="22"/>
        </w:rPr>
        <w:t xml:space="preserve">i růst obchodního centra </w:t>
      </w:r>
      <w:r w:rsidR="00ED46DB" w:rsidRPr="008A09E7">
        <w:rPr>
          <w:b/>
          <w:bCs/>
          <w:sz w:val="22"/>
        </w:rPr>
        <w:t xml:space="preserve">OC </w:t>
      </w:r>
      <w:r w:rsidR="00B44D82" w:rsidRPr="008A09E7">
        <w:rPr>
          <w:b/>
          <w:bCs/>
          <w:sz w:val="22"/>
        </w:rPr>
        <w:t xml:space="preserve">KOKSOVNA. Žadatel zároveň uvádí, že v současné době, již jedná s majiteli okolních pozemků o možnosti jejich odkupu, přičemž cílem je vznik uceleného komplexu s nabídkou </w:t>
      </w:r>
      <w:r w:rsidR="00B44D82" w:rsidRPr="008A09E7">
        <w:rPr>
          <w:b/>
          <w:bCs/>
          <w:sz w:val="22"/>
          <w:u w:val="single"/>
        </w:rPr>
        <w:t>zboží a služeb pro širokou veřejnost</w:t>
      </w:r>
      <w:r w:rsidR="00B44D82" w:rsidRPr="008A09E7">
        <w:rPr>
          <w:b/>
          <w:bCs/>
          <w:sz w:val="22"/>
        </w:rPr>
        <w:t>. Rozšíření OC KOKSOVNA tak lze brát jako strategickou investici do lokality, k</w:t>
      </w:r>
      <w:r w:rsidR="00B44D82" w:rsidRPr="003A4008">
        <w:rPr>
          <w:b/>
          <w:bCs/>
          <w:sz w:val="22"/>
        </w:rPr>
        <w:t>terá povede k dalšímu rozvoji podnikatelského prostředí v k. ú. Přívoz a přinese tak přínos nejen místnímu obyvatelstvu</w:t>
      </w:r>
      <w:r w:rsidR="00ED46DB" w:rsidRPr="003A4008">
        <w:rPr>
          <w:b/>
          <w:bCs/>
          <w:sz w:val="22"/>
        </w:rPr>
        <w:t xml:space="preserve">, ale i </w:t>
      </w:r>
      <w:r w:rsidR="004A0E56" w:rsidRPr="003A4008">
        <w:rPr>
          <w:b/>
          <w:bCs/>
          <w:sz w:val="22"/>
        </w:rPr>
        <w:t xml:space="preserve">místní </w:t>
      </w:r>
      <w:r w:rsidR="00ED46DB" w:rsidRPr="003A4008">
        <w:rPr>
          <w:b/>
          <w:bCs/>
          <w:sz w:val="22"/>
        </w:rPr>
        <w:t>ekonomice;</w:t>
      </w:r>
    </w:p>
    <w:p w14:paraId="0E638807" w14:textId="3BF2FC97" w:rsidR="008D32E8" w:rsidRPr="008A09E7" w:rsidRDefault="008D32E8" w:rsidP="006813A7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 w:rsidRPr="008D32E8">
        <w:rPr>
          <w:b/>
          <w:bCs/>
          <w:sz w:val="22"/>
          <w:szCs w:val="22"/>
        </w:rPr>
        <w:t>Bezprostředně po případném nabytí vlastnického práva hodlá žadatel zahájit kroky směřující k důkladnému posouzení technického stavu objektu. Nechá zpracovat odbornou analýzu zahrnující zejména stavebně technický stav, posouzení konstrukcí, technické infrastruktury a celkového potenciálu využití nemovitosti. Na základě těchto podkladů bude následně zvoleno nejefektivnější a zároveň ekonomicky i urbanisticky vhodné řešení dalšího postupu, ať již formou rekonstrukce, modernizace či dílčí přestavby</w:t>
      </w:r>
      <w:r>
        <w:rPr>
          <w:b/>
          <w:bCs/>
          <w:sz w:val="22"/>
          <w:szCs w:val="22"/>
        </w:rPr>
        <w:t>;</w:t>
      </w:r>
    </w:p>
    <w:p w14:paraId="41053C37" w14:textId="12B777AE" w:rsidR="0060454F" w:rsidRDefault="0060454F" w:rsidP="006813A7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 w:rsidRPr="008A09E7">
        <w:rPr>
          <w:b/>
          <w:bCs/>
          <w:sz w:val="22"/>
        </w:rPr>
        <w:t xml:space="preserve">Odhad výše kupní ceny je cca 7 až 10 milionů </w:t>
      </w:r>
      <w:r w:rsidR="00963BCA">
        <w:rPr>
          <w:b/>
          <w:bCs/>
          <w:sz w:val="22"/>
        </w:rPr>
        <w:t>Kč</w:t>
      </w:r>
      <w:r w:rsidR="008A09E7" w:rsidRPr="008A09E7">
        <w:rPr>
          <w:b/>
          <w:bCs/>
          <w:sz w:val="22"/>
        </w:rPr>
        <w:t>;</w:t>
      </w:r>
    </w:p>
    <w:p w14:paraId="1D6D9CE0" w14:textId="08198EC8" w:rsidR="0060454F" w:rsidRPr="008A09E7" w:rsidRDefault="0060454F" w:rsidP="006813A7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 w:rsidRPr="008A09E7">
        <w:rPr>
          <w:b/>
          <w:bCs/>
          <w:sz w:val="22"/>
        </w:rPr>
        <w:t>Kupní cena bude stanovena nejméně za cenu v čase a místě obvyklou stanovenou znaleckým posudkem a tato cena se může od výše uvedeného odhadu lišit</w:t>
      </w:r>
      <w:r w:rsidR="008A09E7" w:rsidRPr="008A09E7">
        <w:rPr>
          <w:b/>
          <w:bCs/>
          <w:sz w:val="22"/>
        </w:rPr>
        <w:t>;</w:t>
      </w:r>
    </w:p>
    <w:p w14:paraId="477AE636" w14:textId="6F6BBD57" w:rsidR="00D03C45" w:rsidRDefault="00D03C45" w:rsidP="006813A7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</w:rPr>
        <w:t>Zastupitelstvo městského obvodu Moravská Ostrava a Přívoz vydalo dne 24. 2. 2025 kladné stanovisko k prodeji předmětných pozemků</w:t>
      </w:r>
      <w:r w:rsidRPr="00B24B2C">
        <w:rPr>
          <w:b/>
          <w:bCs/>
          <w:sz w:val="22"/>
        </w:rPr>
        <w:t>;</w:t>
      </w:r>
    </w:p>
    <w:p w14:paraId="6684EB65" w14:textId="6C4332BD" w:rsidR="006813A7" w:rsidRPr="00A3105D" w:rsidRDefault="001A4F05" w:rsidP="00A3105D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Oslovené o</w:t>
      </w:r>
      <w:r w:rsidR="00E54584">
        <w:rPr>
          <w:b/>
          <w:bCs/>
          <w:sz w:val="22"/>
          <w:szCs w:val="22"/>
        </w:rPr>
        <w:t xml:space="preserve">dbory MMO vydaly kladná stanoviska k prodeji </w:t>
      </w:r>
      <w:r w:rsidR="00961FF0">
        <w:rPr>
          <w:b/>
          <w:bCs/>
          <w:sz w:val="22"/>
          <w:szCs w:val="22"/>
        </w:rPr>
        <w:t>předmětných pozemků</w:t>
      </w:r>
      <w:r w:rsidR="00D67B5E" w:rsidRPr="00B24B2C">
        <w:rPr>
          <w:b/>
          <w:bCs/>
          <w:sz w:val="22"/>
        </w:rPr>
        <w:t>;</w:t>
      </w:r>
    </w:p>
    <w:p w14:paraId="4F305B79" w14:textId="5826C1FA" w:rsidR="001374CE" w:rsidRPr="00A714C9" w:rsidRDefault="001D1152" w:rsidP="001374CE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</w:rPr>
        <w:t xml:space="preserve">Rada města dne 28. 04. 2026 svým usnesením č. </w:t>
      </w:r>
      <w:r w:rsidR="000717F0">
        <w:rPr>
          <w:b/>
          <w:bCs/>
          <w:noProof/>
          <w:sz w:val="22"/>
        </w:rPr>
        <w:t>09787/RM2226/135</w:t>
      </w:r>
      <w:r>
        <w:rPr>
          <w:b/>
          <w:bCs/>
          <w:noProof/>
          <w:sz w:val="22"/>
        </w:rPr>
        <w:t xml:space="preserve"> souhlasila s návrhem na záměr města prodat pozemky dle bodu 1) návrhu tohoto usnesení.</w:t>
      </w:r>
    </w:p>
    <w:p w14:paraId="580BEED6" w14:textId="2A265B70" w:rsidR="00A714C9" w:rsidRPr="00F05F5E" w:rsidRDefault="00A714C9" w:rsidP="001374CE">
      <w:pPr>
        <w:pStyle w:val="Normlnweb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</w:rPr>
        <w:t>Komise pro majetek a hospodářskou správu rady města Ostravy souhlasí s prodejem předmětných pozemků.</w:t>
      </w: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957"/>
        <w:gridCol w:w="2185"/>
        <w:gridCol w:w="2160"/>
        <w:gridCol w:w="2905"/>
      </w:tblGrid>
      <w:tr w:rsidR="00B10357" w14:paraId="59003B65" w14:textId="77777777" w:rsidTr="00961FF0">
        <w:tc>
          <w:tcPr>
            <w:tcW w:w="2957" w:type="dxa"/>
            <w:shd w:val="clear" w:color="auto" w:fill="FFFF00"/>
          </w:tcPr>
          <w:p w14:paraId="63F62E07" w14:textId="6BDDB26C" w:rsidR="00B10357" w:rsidRDefault="00B10357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Pozemek</w:t>
            </w:r>
          </w:p>
        </w:tc>
        <w:tc>
          <w:tcPr>
            <w:tcW w:w="2185" w:type="dxa"/>
            <w:shd w:val="clear" w:color="auto" w:fill="FFFF00"/>
          </w:tcPr>
          <w:p w14:paraId="7650C0A5" w14:textId="127733D7" w:rsidR="00B10357" w:rsidRDefault="00B10357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160" w:type="dxa"/>
            <w:shd w:val="clear" w:color="auto" w:fill="FFFF00"/>
          </w:tcPr>
          <w:p w14:paraId="12FB6EAF" w14:textId="7F7752B5" w:rsidR="00B10357" w:rsidRDefault="00B10357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Výměra </w:t>
            </w:r>
            <w:r w:rsidR="00961FF0">
              <w:rPr>
                <w:b/>
                <w:bCs/>
                <w:sz w:val="22"/>
                <w:szCs w:val="22"/>
              </w:rPr>
              <w:t>pozemku</w:t>
            </w:r>
          </w:p>
        </w:tc>
        <w:tc>
          <w:tcPr>
            <w:tcW w:w="2905" w:type="dxa"/>
            <w:shd w:val="clear" w:color="auto" w:fill="FFFF00"/>
          </w:tcPr>
          <w:p w14:paraId="52D1E30D" w14:textId="06CFF072" w:rsidR="00B10357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pozemku</w:t>
            </w:r>
            <w:r w:rsidR="00B1035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1FF0" w14:paraId="683A5403" w14:textId="77777777" w:rsidTr="00961FF0">
        <w:tc>
          <w:tcPr>
            <w:tcW w:w="2957" w:type="dxa"/>
          </w:tcPr>
          <w:p w14:paraId="4CF297A8" w14:textId="2955376F" w:rsidR="00961FF0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p. č. st. 590</w:t>
            </w:r>
            <w:r w:rsidR="005570A2">
              <w:rPr>
                <w:b/>
                <w:bCs/>
                <w:sz w:val="22"/>
                <w:szCs w:val="22"/>
              </w:rPr>
              <w:t>, součástí je budova čp. 624</w:t>
            </w:r>
          </w:p>
        </w:tc>
        <w:tc>
          <w:tcPr>
            <w:tcW w:w="2185" w:type="dxa"/>
          </w:tcPr>
          <w:p w14:paraId="11B0D8A8" w14:textId="3E96575D" w:rsidR="00961FF0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Přívoz</w:t>
            </w:r>
          </w:p>
        </w:tc>
        <w:tc>
          <w:tcPr>
            <w:tcW w:w="2160" w:type="dxa"/>
          </w:tcPr>
          <w:p w14:paraId="48746997" w14:textId="61B34B78" w:rsidR="00961FF0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341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05" w:type="dxa"/>
          </w:tcPr>
          <w:p w14:paraId="3503A76A" w14:textId="029927BF" w:rsidR="00961FF0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Zastavěná plocha a nádvoří</w:t>
            </w:r>
          </w:p>
        </w:tc>
      </w:tr>
      <w:tr w:rsidR="00B10357" w14:paraId="1C8DC485" w14:textId="77777777" w:rsidTr="00961FF0">
        <w:tc>
          <w:tcPr>
            <w:tcW w:w="2957" w:type="dxa"/>
          </w:tcPr>
          <w:p w14:paraId="78F36B14" w14:textId="614D5D95" w:rsidR="00B10357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p. p. č. 369/4</w:t>
            </w:r>
          </w:p>
        </w:tc>
        <w:tc>
          <w:tcPr>
            <w:tcW w:w="2185" w:type="dxa"/>
          </w:tcPr>
          <w:p w14:paraId="2D5FD2DB" w14:textId="4D49543C" w:rsidR="00B10357" w:rsidRDefault="00B10357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Přívoz</w:t>
            </w:r>
          </w:p>
        </w:tc>
        <w:tc>
          <w:tcPr>
            <w:tcW w:w="2160" w:type="dxa"/>
          </w:tcPr>
          <w:p w14:paraId="5028E74F" w14:textId="04E56BA7" w:rsidR="00B10357" w:rsidRPr="00B10357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798</w:t>
            </w:r>
            <w:r w:rsidR="00B10357">
              <w:rPr>
                <w:b/>
                <w:bCs/>
                <w:sz w:val="22"/>
                <w:szCs w:val="22"/>
              </w:rPr>
              <w:t xml:space="preserve"> m</w:t>
            </w:r>
            <w:r w:rsidR="00B1035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05" w:type="dxa"/>
          </w:tcPr>
          <w:p w14:paraId="4C3EB40A" w14:textId="4FA048F9" w:rsidR="00B10357" w:rsidRPr="00B10357" w:rsidRDefault="00961FF0" w:rsidP="00B10357">
            <w:pPr>
              <w:pStyle w:val="Normlnweb"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Zahrada</w:t>
            </w:r>
          </w:p>
        </w:tc>
      </w:tr>
    </w:tbl>
    <w:p w14:paraId="3BEED5E9" w14:textId="1745D428" w:rsidR="00316A07" w:rsidRDefault="00286940" w:rsidP="00A714C9">
      <w:pPr>
        <w:pStyle w:val="Normlnweb"/>
        <w:spacing w:line="276" w:lineRule="auto"/>
        <w:ind w:left="-284" w:right="-426"/>
        <w:contextualSpacing/>
        <w:jc w:val="center"/>
        <w:rPr>
          <w:b/>
          <w:bCs/>
          <w:sz w:val="22"/>
          <w:szCs w:val="22"/>
        </w:rPr>
      </w:pPr>
      <w:r w:rsidRPr="00286940">
        <w:rPr>
          <w:b/>
          <w:bCs/>
          <w:noProof/>
          <w:sz w:val="22"/>
          <w:szCs w:val="22"/>
        </w:rPr>
        <w:drawing>
          <wp:inline distT="0" distB="0" distL="0" distR="0" wp14:anchorId="0422902E" wp14:editId="3DC3DA4A">
            <wp:extent cx="2729230" cy="1828800"/>
            <wp:effectExtent l="0" t="0" r="0" b="0"/>
            <wp:docPr id="16111838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838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5124" cy="185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64EF" w14:textId="5A85C0EF" w:rsidR="001D476B" w:rsidRDefault="001D476B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Předmět:</w:t>
      </w:r>
    </w:p>
    <w:p w14:paraId="1247C53C" w14:textId="028826AF" w:rsidR="006735EE" w:rsidRPr="005570A2" w:rsidRDefault="00294511" w:rsidP="00294511">
      <w:pPr>
        <w:pStyle w:val="Normlnweb"/>
        <w:numPr>
          <w:ilvl w:val="0"/>
          <w:numId w:val="3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61FF0">
        <w:rPr>
          <w:sz w:val="22"/>
          <w:szCs w:val="22"/>
        </w:rPr>
        <w:t xml:space="preserve">ozemek p. č. st. 590 </w:t>
      </w:r>
      <w:r w:rsidR="006735EE">
        <w:rPr>
          <w:sz w:val="22"/>
          <w:szCs w:val="22"/>
        </w:rPr>
        <w:t>z</w:t>
      </w:r>
      <w:r w:rsidR="00961FF0">
        <w:rPr>
          <w:sz w:val="22"/>
          <w:szCs w:val="22"/>
        </w:rPr>
        <w:t>astavěná plocha a nádvoří o výměře 341</w:t>
      </w:r>
      <w:r w:rsidR="00961FF0" w:rsidRPr="00961FF0">
        <w:rPr>
          <w:b/>
          <w:bCs/>
          <w:sz w:val="22"/>
          <w:szCs w:val="22"/>
        </w:rPr>
        <w:t xml:space="preserve"> </w:t>
      </w:r>
      <w:r w:rsidR="00961FF0" w:rsidRPr="00DC67BD">
        <w:rPr>
          <w:sz w:val="22"/>
          <w:szCs w:val="22"/>
        </w:rPr>
        <w:t>m</w:t>
      </w:r>
      <w:r w:rsidR="00961FF0" w:rsidRPr="00DC67BD">
        <w:rPr>
          <w:sz w:val="22"/>
          <w:szCs w:val="22"/>
          <w:vertAlign w:val="superscript"/>
        </w:rPr>
        <w:t>2</w:t>
      </w:r>
      <w:r w:rsidR="005570A2" w:rsidRPr="005570A2">
        <w:rPr>
          <w:sz w:val="22"/>
          <w:szCs w:val="22"/>
        </w:rPr>
        <w:t>,</w:t>
      </w:r>
      <w:r w:rsidR="005570A2" w:rsidRPr="005570A2">
        <w:rPr>
          <w:sz w:val="22"/>
          <w:szCs w:val="22"/>
          <w:vertAlign w:val="superscript"/>
        </w:rPr>
        <w:t xml:space="preserve"> </w:t>
      </w:r>
      <w:r w:rsidR="005570A2" w:rsidRPr="005570A2">
        <w:rPr>
          <w:sz w:val="22"/>
        </w:rPr>
        <w:t>jehož součástí je stavba č. p. 624</w:t>
      </w:r>
      <w:r w:rsidR="00B76721">
        <w:rPr>
          <w:sz w:val="22"/>
        </w:rPr>
        <w:t>,</w:t>
      </w:r>
    </w:p>
    <w:p w14:paraId="38D4BF34" w14:textId="1B462889" w:rsidR="006735EE" w:rsidRDefault="00294511" w:rsidP="00294511">
      <w:pPr>
        <w:pStyle w:val="Normlnweb"/>
        <w:numPr>
          <w:ilvl w:val="0"/>
          <w:numId w:val="3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="00961FF0">
        <w:rPr>
          <w:sz w:val="22"/>
          <w:szCs w:val="22"/>
        </w:rPr>
        <w:t xml:space="preserve">ozemek p. p. č. </w:t>
      </w:r>
      <w:r w:rsidR="008E7ED8">
        <w:rPr>
          <w:sz w:val="22"/>
          <w:szCs w:val="22"/>
        </w:rPr>
        <w:t xml:space="preserve">369/4 </w:t>
      </w:r>
      <w:r w:rsidR="006735EE">
        <w:rPr>
          <w:sz w:val="22"/>
          <w:szCs w:val="22"/>
        </w:rPr>
        <w:t>z</w:t>
      </w:r>
      <w:r w:rsidR="008E7ED8">
        <w:rPr>
          <w:sz w:val="22"/>
          <w:szCs w:val="22"/>
        </w:rPr>
        <w:t xml:space="preserve">ahrada, zemědělský půdní fond, o výměře 798 </w:t>
      </w:r>
      <w:r w:rsidR="008E7ED8" w:rsidRPr="00DC67BD">
        <w:rPr>
          <w:sz w:val="22"/>
          <w:szCs w:val="22"/>
        </w:rPr>
        <w:t>m</w:t>
      </w:r>
      <w:r w:rsidR="008E7ED8" w:rsidRPr="00DC67BD">
        <w:rPr>
          <w:sz w:val="22"/>
          <w:szCs w:val="22"/>
          <w:vertAlign w:val="superscript"/>
        </w:rPr>
        <w:t>2</w:t>
      </w:r>
      <w:r w:rsidR="008E7ED8" w:rsidRPr="00DC67BD">
        <w:rPr>
          <w:sz w:val="22"/>
          <w:szCs w:val="22"/>
        </w:rPr>
        <w:t>,</w:t>
      </w:r>
      <w:r w:rsidR="008E7ED8">
        <w:rPr>
          <w:b/>
          <w:bCs/>
          <w:sz w:val="22"/>
          <w:szCs w:val="22"/>
        </w:rPr>
        <w:t xml:space="preserve"> </w:t>
      </w:r>
    </w:p>
    <w:p w14:paraId="57A35262" w14:textId="77777777" w:rsidR="00294511" w:rsidRDefault="00294511" w:rsidP="00294511">
      <w:pPr>
        <w:pStyle w:val="Normlnweb"/>
        <w:spacing w:line="276" w:lineRule="auto"/>
        <w:ind w:firstLine="360"/>
        <w:contextualSpacing/>
        <w:jc w:val="both"/>
        <w:rPr>
          <w:sz w:val="22"/>
          <w:szCs w:val="22"/>
        </w:rPr>
      </w:pPr>
    </w:p>
    <w:p w14:paraId="3F95DBA0" w14:textId="5158D2FF" w:rsidR="005570A2" w:rsidRDefault="008E7ED8" w:rsidP="00294511">
      <w:pPr>
        <w:pStyle w:val="Normlnweb"/>
        <w:spacing w:line="276" w:lineRule="auto"/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obojí v k. ú. Přívoz,</w:t>
      </w:r>
      <w:r w:rsidR="00761D22" w:rsidRPr="00EF52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obec Ostrava, </w:t>
      </w:r>
      <w:r w:rsidR="00761D22">
        <w:rPr>
          <w:sz w:val="22"/>
          <w:szCs w:val="22"/>
        </w:rPr>
        <w:t xml:space="preserve">ve vlastnictví </w:t>
      </w:r>
      <w:r>
        <w:rPr>
          <w:sz w:val="22"/>
          <w:szCs w:val="22"/>
        </w:rPr>
        <w:t xml:space="preserve">statutárního </w:t>
      </w:r>
      <w:r w:rsidR="00761D22">
        <w:rPr>
          <w:sz w:val="22"/>
          <w:szCs w:val="22"/>
        </w:rPr>
        <w:t xml:space="preserve">města Ostravy, </w:t>
      </w:r>
    </w:p>
    <w:p w14:paraId="11154116" w14:textId="77777777" w:rsidR="005570A2" w:rsidRDefault="005570A2" w:rsidP="00761D22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53A6902D" w14:textId="453C6B06" w:rsidR="00AC1427" w:rsidRDefault="005570A2" w:rsidP="00761D22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612A8">
        <w:rPr>
          <w:sz w:val="22"/>
          <w:szCs w:val="22"/>
        </w:rPr>
        <w:t>ozemky</w:t>
      </w:r>
      <w:r>
        <w:rPr>
          <w:sz w:val="22"/>
          <w:szCs w:val="22"/>
        </w:rPr>
        <w:t xml:space="preserve"> mají celkovou výměru 1139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a</w:t>
      </w:r>
      <w:r w:rsidR="00C612A8">
        <w:rPr>
          <w:sz w:val="22"/>
          <w:szCs w:val="22"/>
        </w:rPr>
        <w:t xml:space="preserve"> jsou </w:t>
      </w:r>
      <w:r w:rsidR="00761D22">
        <w:rPr>
          <w:sz w:val="22"/>
          <w:szCs w:val="22"/>
        </w:rPr>
        <w:t>svěřen</w:t>
      </w:r>
      <w:r w:rsidR="008E7ED8">
        <w:rPr>
          <w:sz w:val="22"/>
          <w:szCs w:val="22"/>
        </w:rPr>
        <w:t>y</w:t>
      </w:r>
      <w:r w:rsidR="00761D22">
        <w:rPr>
          <w:sz w:val="22"/>
          <w:szCs w:val="22"/>
        </w:rPr>
        <w:t xml:space="preserve"> do</w:t>
      </w:r>
      <w:r w:rsidR="006735EE">
        <w:rPr>
          <w:sz w:val="22"/>
          <w:szCs w:val="22"/>
        </w:rPr>
        <w:t> </w:t>
      </w:r>
      <w:r w:rsidR="00761D22">
        <w:rPr>
          <w:sz w:val="22"/>
          <w:szCs w:val="22"/>
        </w:rPr>
        <w:t>správy městskému obvodu Moravská Ostrava a Přívoz</w:t>
      </w:r>
      <w:r>
        <w:rPr>
          <w:sz w:val="22"/>
          <w:szCs w:val="22"/>
        </w:rPr>
        <w:t>.</w:t>
      </w:r>
      <w:r w:rsidR="00AC1427">
        <w:rPr>
          <w:sz w:val="22"/>
          <w:szCs w:val="22"/>
        </w:rPr>
        <w:t xml:space="preserve"> </w:t>
      </w:r>
    </w:p>
    <w:p w14:paraId="51D528B0" w14:textId="77777777" w:rsidR="003A2DB1" w:rsidRDefault="003A2DB1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</w:p>
    <w:p w14:paraId="732B70DC" w14:textId="1BE2409B" w:rsidR="001D476B" w:rsidRDefault="001D476B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Žadatel:</w:t>
      </w:r>
    </w:p>
    <w:p w14:paraId="4CD8C676" w14:textId="06C79E93" w:rsidR="001D476B" w:rsidRPr="00DC67BD" w:rsidRDefault="0049233B" w:rsidP="00DC67B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</w:rPr>
        <w:t xml:space="preserve">Společnost </w:t>
      </w:r>
      <w:r w:rsidR="00DC67BD" w:rsidRPr="00DC67BD">
        <w:rPr>
          <w:sz w:val="22"/>
        </w:rPr>
        <w:t>Odra Styl a.s., se sídlem Kališní 148/12, Stará Bělá, 724 00 Ostrava, IČO 087 71</w:t>
      </w:r>
      <w:r w:rsidR="005570A2">
        <w:rPr>
          <w:sz w:val="22"/>
        </w:rPr>
        <w:t> </w:t>
      </w:r>
      <w:r w:rsidR="00DC67BD" w:rsidRPr="00DC67BD">
        <w:rPr>
          <w:sz w:val="22"/>
        </w:rPr>
        <w:t>952</w:t>
      </w:r>
      <w:r w:rsidR="005570A2">
        <w:rPr>
          <w:sz w:val="22"/>
        </w:rPr>
        <w:t>.</w:t>
      </w:r>
    </w:p>
    <w:p w14:paraId="252A1171" w14:textId="77777777" w:rsidR="001D476B" w:rsidRDefault="001D476B" w:rsidP="001D476B">
      <w:pPr>
        <w:pStyle w:val="Normlnweb"/>
        <w:contextualSpacing/>
        <w:jc w:val="both"/>
        <w:rPr>
          <w:sz w:val="22"/>
          <w:szCs w:val="22"/>
        </w:rPr>
      </w:pPr>
    </w:p>
    <w:p w14:paraId="48FDA343" w14:textId="37701E8F" w:rsidR="001D476B" w:rsidRDefault="001D476B" w:rsidP="001D476B">
      <w:pPr>
        <w:pStyle w:val="Normlnweb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Účel:</w:t>
      </w:r>
    </w:p>
    <w:p w14:paraId="35AEC80C" w14:textId="79788AA5" w:rsidR="005570A2" w:rsidRDefault="001D476B" w:rsidP="006813A7">
      <w:pPr>
        <w:pStyle w:val="Normlnweb"/>
        <w:spacing w:line="276" w:lineRule="auto"/>
        <w:contextualSpacing/>
        <w:jc w:val="both"/>
        <w:rPr>
          <w:sz w:val="22"/>
        </w:rPr>
      </w:pPr>
      <w:r w:rsidRPr="001D476B">
        <w:rPr>
          <w:sz w:val="22"/>
          <w:szCs w:val="22"/>
        </w:rPr>
        <w:t xml:space="preserve">Účelem koupě je </w:t>
      </w:r>
      <w:r w:rsidR="00A46007">
        <w:rPr>
          <w:sz w:val="22"/>
          <w:szCs w:val="22"/>
        </w:rPr>
        <w:t>rozšíření stávajícího obchodního centra RETAIL PARK OC KOKSOVNA</w:t>
      </w:r>
      <w:r w:rsidR="005570A2">
        <w:rPr>
          <w:sz w:val="22"/>
          <w:szCs w:val="22"/>
        </w:rPr>
        <w:t xml:space="preserve">, </w:t>
      </w:r>
      <w:r w:rsidR="005570A2" w:rsidRPr="005570A2">
        <w:rPr>
          <w:sz w:val="22"/>
          <w:szCs w:val="22"/>
        </w:rPr>
        <w:t>který</w:t>
      </w:r>
      <w:r w:rsidR="00D16487">
        <w:rPr>
          <w:sz w:val="22"/>
          <w:szCs w:val="22"/>
        </w:rPr>
        <w:t> </w:t>
      </w:r>
      <w:r w:rsidR="005570A2" w:rsidRPr="005570A2">
        <w:rPr>
          <w:sz w:val="22"/>
          <w:szCs w:val="22"/>
        </w:rPr>
        <w:t>se</w:t>
      </w:r>
      <w:r w:rsidR="00D16487">
        <w:rPr>
          <w:sz w:val="22"/>
          <w:szCs w:val="22"/>
        </w:rPr>
        <w:t> </w:t>
      </w:r>
      <w:r w:rsidR="005570A2" w:rsidRPr="005570A2">
        <w:rPr>
          <w:sz w:val="22"/>
          <w:szCs w:val="22"/>
        </w:rPr>
        <w:t>nachází mimo jiné na pozemku p. p. č. 365/1 ve vlastnictví Žadatele</w:t>
      </w:r>
      <w:r w:rsidR="005570A2">
        <w:rPr>
          <w:sz w:val="22"/>
        </w:rPr>
        <w:t>.</w:t>
      </w:r>
    </w:p>
    <w:p w14:paraId="2FA986E6" w14:textId="77777777" w:rsidR="005570A2" w:rsidRPr="005570A2" w:rsidRDefault="005570A2" w:rsidP="006813A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1B0996D8" w14:textId="504B5FB1" w:rsidR="00A46007" w:rsidRDefault="00A46007" w:rsidP="006813A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Tento krok představuje strategickou investici směřující k dalšímu rozvoji podnikatelského prostředí v k.</w:t>
      </w:r>
      <w:r w:rsidR="0005026C">
        <w:rPr>
          <w:sz w:val="22"/>
          <w:szCs w:val="22"/>
        </w:rPr>
        <w:t> </w:t>
      </w:r>
      <w:r>
        <w:rPr>
          <w:sz w:val="22"/>
          <w:szCs w:val="22"/>
        </w:rPr>
        <w:t>ú. Přívoz</w:t>
      </w:r>
      <w:r w:rsidR="005570A2">
        <w:rPr>
          <w:sz w:val="22"/>
          <w:szCs w:val="22"/>
        </w:rPr>
        <w:t>, obec Ostrava</w:t>
      </w:r>
      <w:r w:rsidR="00C138D3">
        <w:rPr>
          <w:sz w:val="22"/>
          <w:szCs w:val="22"/>
        </w:rPr>
        <w:t>,</w:t>
      </w:r>
      <w:r>
        <w:rPr>
          <w:sz w:val="22"/>
          <w:szCs w:val="22"/>
        </w:rPr>
        <w:t xml:space="preserve"> a</w:t>
      </w:r>
      <w:r w:rsidR="00FD3D14">
        <w:rPr>
          <w:sz w:val="22"/>
          <w:szCs w:val="22"/>
        </w:rPr>
        <w:t xml:space="preserve"> i pro městský obvod</w:t>
      </w:r>
      <w:r>
        <w:rPr>
          <w:sz w:val="22"/>
          <w:szCs w:val="22"/>
        </w:rPr>
        <w:t xml:space="preserve"> přinese měřitelný přínos jak pro místní ekonomiku, tak pro obyvatele. Rozšířením nabídky obchodního centra dojde ke zkvalitnění služeb a</w:t>
      </w:r>
      <w:r w:rsidR="00A55356">
        <w:rPr>
          <w:sz w:val="22"/>
          <w:szCs w:val="22"/>
        </w:rPr>
        <w:t> </w:t>
      </w:r>
      <w:r>
        <w:rPr>
          <w:sz w:val="22"/>
          <w:szCs w:val="22"/>
        </w:rPr>
        <w:t xml:space="preserve">zvýšení komfortu pro návštěvníky. Zmodernizované prostory přilákají nové podnikatele, čímž se zvýší </w:t>
      </w:r>
      <w:r w:rsidR="00E36F70">
        <w:rPr>
          <w:sz w:val="22"/>
          <w:szCs w:val="22"/>
        </w:rPr>
        <w:t xml:space="preserve">celková </w:t>
      </w:r>
      <w:r>
        <w:rPr>
          <w:sz w:val="22"/>
          <w:szCs w:val="22"/>
        </w:rPr>
        <w:t>atraktivita lokality</w:t>
      </w:r>
      <w:r w:rsidR="0043222C">
        <w:rPr>
          <w:sz w:val="22"/>
          <w:szCs w:val="22"/>
        </w:rPr>
        <w:t>.</w:t>
      </w:r>
    </w:p>
    <w:p w14:paraId="67B096AA" w14:textId="77777777" w:rsidR="00A46007" w:rsidRDefault="00A46007" w:rsidP="006813A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33E1B479" w14:textId="53C6B677" w:rsidR="005F56BB" w:rsidRDefault="00A46007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Stavba č. p. 624</w:t>
      </w:r>
      <w:r w:rsidR="005570A2">
        <w:rPr>
          <w:sz w:val="22"/>
          <w:szCs w:val="22"/>
        </w:rPr>
        <w:t xml:space="preserve">, která je součástí pozemku p.č.st. 590 </w:t>
      </w:r>
      <w:r>
        <w:rPr>
          <w:sz w:val="22"/>
          <w:szCs w:val="22"/>
        </w:rPr>
        <w:t xml:space="preserve">v k. ú. Přívoz bude </w:t>
      </w:r>
      <w:r w:rsidR="0005026C" w:rsidRPr="0060454F">
        <w:rPr>
          <w:color w:val="3A7C22" w:themeColor="accent6" w:themeShade="BF"/>
          <w:sz w:val="22"/>
          <w:szCs w:val="22"/>
        </w:rPr>
        <w:t>z</w:t>
      </w:r>
      <w:r>
        <w:rPr>
          <w:sz w:val="22"/>
          <w:szCs w:val="22"/>
        </w:rPr>
        <w:t>rekonstruována a následně využita jako moderní prostor</w:t>
      </w:r>
      <w:r w:rsidR="005570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 poskytování služeb v oblasti osobní péče a </w:t>
      </w:r>
      <w:r w:rsidR="00C612A8">
        <w:rPr>
          <w:sz w:val="22"/>
          <w:szCs w:val="22"/>
        </w:rPr>
        <w:t>zdraví</w:t>
      </w:r>
      <w:r>
        <w:rPr>
          <w:sz w:val="22"/>
          <w:szCs w:val="22"/>
        </w:rPr>
        <w:t>. Žadatel zde plánuje vybudovat komplexní centrum služeb které nabídne: Kadeřnické služby, masáže a regenerační procedury, nehtovou modeláž a další služby v oblasti krásy a zdraví. Celková rekonstrukce objektu pak zvýší jeho estetickou i funkční hodnotu a přinese mu dlouhodobé stabilní využití</w:t>
      </w:r>
      <w:r w:rsidR="00766224">
        <w:rPr>
          <w:sz w:val="22"/>
          <w:szCs w:val="22"/>
        </w:rPr>
        <w:t>. A</w:t>
      </w:r>
      <w:r>
        <w:rPr>
          <w:sz w:val="22"/>
          <w:szCs w:val="22"/>
        </w:rPr>
        <w:t>ktivní provoz přinese vyšší návštěvnost oblasti a</w:t>
      </w:r>
      <w:r w:rsidR="00C612A8">
        <w:rPr>
          <w:sz w:val="22"/>
          <w:szCs w:val="22"/>
        </w:rPr>
        <w:t> </w:t>
      </w:r>
      <w:r>
        <w:rPr>
          <w:sz w:val="22"/>
          <w:szCs w:val="22"/>
        </w:rPr>
        <w:t xml:space="preserve">také přispěje k celkové kultivaci veřejného prostoru. </w:t>
      </w:r>
    </w:p>
    <w:p w14:paraId="4547A46F" w14:textId="77777777" w:rsidR="008F6649" w:rsidRDefault="008F6649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7B6AE295" w14:textId="3B252E8E" w:rsidR="008F6649" w:rsidRDefault="008F6649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 w:rsidRPr="00E263F2">
        <w:rPr>
          <w:b/>
          <w:bCs/>
          <w:sz w:val="22"/>
          <w:szCs w:val="22"/>
          <w:u w:val="single"/>
        </w:rPr>
        <w:t>Záměrem žadatele je dlouhodobě a systematicky rozvíjet lokalitu Ostrava-Přívoz</w:t>
      </w:r>
      <w:r>
        <w:rPr>
          <w:sz w:val="22"/>
          <w:szCs w:val="22"/>
        </w:rPr>
        <w:t>, a to v návaznosti na již realizovaný a úspěšně fungující projekt obchodního centra OC Koksovna. Odkupem dotčených nemovitostí chce žadatel přirozeně rozšířit stávající areál a doplnit spektrum poskytovaných služeb tak, aby odpovídalo současným potřebám obyvatel i návštěvníků této části města.</w:t>
      </w:r>
    </w:p>
    <w:p w14:paraId="133E0297" w14:textId="77777777" w:rsidR="007959E0" w:rsidRDefault="007959E0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38C78DDA" w14:textId="75C70502" w:rsidR="008F6649" w:rsidRDefault="008F6649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Bezprostředně po případném nabytí vlastnického práva hodlá žadatel zahájit kroky směřující k důkladnému posouzení technického stavu objektu. Nechá zpracovat odbornou analýzu </w:t>
      </w:r>
      <w:r w:rsidR="00ED3AF7">
        <w:rPr>
          <w:sz w:val="22"/>
          <w:szCs w:val="22"/>
        </w:rPr>
        <w:t xml:space="preserve">zahrnující zejména stavebně technický stav, posouzení konstrukcí, technické infrastruktury a celkového potenciálu využití nemovitosti. Na základě těchto podkladů bude následně zvoleno nejefektivnější a zároveň ekonomicky i urbanisticky </w:t>
      </w:r>
      <w:r w:rsidR="007959E0">
        <w:rPr>
          <w:sz w:val="22"/>
          <w:szCs w:val="22"/>
        </w:rPr>
        <w:t>vhodné řešení dalšího postupu, ať již formou rekonstrukce, modernizace či dílčí přestavby.</w:t>
      </w:r>
    </w:p>
    <w:p w14:paraId="0C469984" w14:textId="77777777" w:rsidR="007959E0" w:rsidRDefault="007959E0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34E1F75A" w14:textId="25CED10C" w:rsidR="007959E0" w:rsidRDefault="007959E0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Přípravu záměru plánuje žadatel zahájit bezodkladně po realizaci odkupu. Již v této fázi počítá s navázáním úzké spolupráce s renomovaným architektonickým studiem </w:t>
      </w:r>
      <w:r w:rsidR="00BC006D">
        <w:rPr>
          <w:sz w:val="22"/>
          <w:szCs w:val="22"/>
        </w:rPr>
        <w:t>XXXX XXXXXXXXX</w:t>
      </w:r>
      <w:r>
        <w:rPr>
          <w:sz w:val="22"/>
          <w:szCs w:val="22"/>
        </w:rPr>
        <w:t>, a to s cílem zajistit architektonickou a urbanistickou kontinuitu s objektem OC Koksovna. Důraz bude kladen na jednotný vizuální i funkční koncept celého území, který přispěje k jeho celkovému zkvalitnění.</w:t>
      </w:r>
    </w:p>
    <w:p w14:paraId="5832709F" w14:textId="77777777" w:rsidR="007959E0" w:rsidRDefault="007959E0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185C8FDD" w14:textId="77777777" w:rsidR="007959E0" w:rsidRDefault="007959E0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7454FB4A" w14:textId="3207BD1F" w:rsidR="007959E0" w:rsidRDefault="007959E0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Současně Žadatel deklaruje konkrétní časový rámec realizace záměru, který je rozdělen na tři fáze:</w:t>
      </w:r>
    </w:p>
    <w:p w14:paraId="6C9B4853" w14:textId="77777777" w:rsidR="007959E0" w:rsidRPr="007959E0" w:rsidRDefault="007959E0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06A0D023" w14:textId="42AD7107" w:rsidR="007959E0" w:rsidRDefault="007959E0" w:rsidP="007959E0">
      <w:pPr>
        <w:pStyle w:val="Normlnweb"/>
        <w:numPr>
          <w:ilvl w:val="0"/>
          <w:numId w:val="4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 w:rsidRPr="007959E0">
        <w:rPr>
          <w:b/>
          <w:bCs/>
          <w:sz w:val="22"/>
          <w:szCs w:val="22"/>
        </w:rPr>
        <w:t>Do 6 měsíců od nabytí vlastnického práva dojde k provedení technického auditu a</w:t>
      </w:r>
      <w:r>
        <w:rPr>
          <w:b/>
          <w:bCs/>
          <w:sz w:val="22"/>
          <w:szCs w:val="22"/>
        </w:rPr>
        <w:t> </w:t>
      </w:r>
      <w:r w:rsidRPr="007959E0">
        <w:rPr>
          <w:b/>
          <w:bCs/>
          <w:sz w:val="22"/>
          <w:szCs w:val="22"/>
        </w:rPr>
        <w:t>zpracování architektonické studie</w:t>
      </w:r>
      <w:r>
        <w:rPr>
          <w:b/>
          <w:bCs/>
          <w:sz w:val="22"/>
          <w:szCs w:val="22"/>
        </w:rPr>
        <w:t>.</w:t>
      </w:r>
    </w:p>
    <w:p w14:paraId="3511E656" w14:textId="4F6DC4AB" w:rsidR="007959E0" w:rsidRDefault="007959E0" w:rsidP="007959E0">
      <w:pPr>
        <w:pStyle w:val="Normlnweb"/>
        <w:numPr>
          <w:ilvl w:val="0"/>
          <w:numId w:val="4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12 měsíců dojde ke zpracování projektové dokumentace a zahájení inženýrské činnosti</w:t>
      </w:r>
    </w:p>
    <w:p w14:paraId="5001D3AD" w14:textId="1FDC9B4D" w:rsidR="007959E0" w:rsidRDefault="007959E0" w:rsidP="007959E0">
      <w:pPr>
        <w:pStyle w:val="Normlnweb"/>
        <w:numPr>
          <w:ilvl w:val="0"/>
          <w:numId w:val="4"/>
        </w:num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24 měsíců dojde k zajištění veškerých nezbytných povolení</w:t>
      </w:r>
      <w:r w:rsidR="00B13A1E">
        <w:rPr>
          <w:b/>
          <w:bCs/>
          <w:sz w:val="22"/>
          <w:szCs w:val="22"/>
        </w:rPr>
        <w:t xml:space="preserve"> a bude tak zajištěna veškerá příprava pro realizaci stavby</w:t>
      </w:r>
    </w:p>
    <w:p w14:paraId="7F391E97" w14:textId="77777777" w:rsidR="001374CE" w:rsidRDefault="001374CE" w:rsidP="00B13A1E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</w:p>
    <w:p w14:paraId="17F197A9" w14:textId="490FD3B2" w:rsidR="00B13A1E" w:rsidRDefault="00B13A1E" w:rsidP="00B13A1E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 w:rsidRPr="00E263F2">
        <w:rPr>
          <w:b/>
          <w:bCs/>
          <w:sz w:val="22"/>
          <w:szCs w:val="22"/>
          <w:u w:val="single"/>
        </w:rPr>
        <w:t>Žadatel je</w:t>
      </w:r>
      <w:r>
        <w:rPr>
          <w:sz w:val="22"/>
          <w:szCs w:val="22"/>
        </w:rPr>
        <w:t xml:space="preserve"> do projektu </w:t>
      </w:r>
      <w:r w:rsidRPr="00E263F2">
        <w:rPr>
          <w:b/>
          <w:bCs/>
          <w:sz w:val="22"/>
          <w:szCs w:val="22"/>
          <w:u w:val="single"/>
        </w:rPr>
        <w:t>připraven investovat vlastní finanční prostředky</w:t>
      </w:r>
      <w:r>
        <w:rPr>
          <w:sz w:val="22"/>
          <w:szCs w:val="22"/>
        </w:rPr>
        <w:t>, přičemž předpokládaný investiční objem bude odpovídat rozsahu zvoleného řešení a bude směřovat k vytvoření moderního a</w:t>
      </w:r>
      <w:r w:rsidR="00E263F2">
        <w:rPr>
          <w:sz w:val="22"/>
          <w:szCs w:val="22"/>
        </w:rPr>
        <w:t> </w:t>
      </w:r>
      <w:r>
        <w:rPr>
          <w:sz w:val="22"/>
          <w:szCs w:val="22"/>
        </w:rPr>
        <w:t>dlouhodobě udržitelného prostoru služeb.</w:t>
      </w:r>
    </w:p>
    <w:p w14:paraId="52CE21F2" w14:textId="77777777" w:rsidR="00B13A1E" w:rsidRDefault="00B13A1E" w:rsidP="00B13A1E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1789EF87" w14:textId="16CEDB2A" w:rsidR="00B13A1E" w:rsidRPr="00B13A1E" w:rsidRDefault="00B13A1E" w:rsidP="00B13A1E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Realizací záměru </w:t>
      </w:r>
      <w:r w:rsidRPr="00E263F2">
        <w:rPr>
          <w:b/>
          <w:bCs/>
          <w:sz w:val="22"/>
          <w:szCs w:val="22"/>
          <w:u w:val="single"/>
        </w:rPr>
        <w:t>dojde k dalšímu rozvoji občanské vybavenosti v</w:t>
      </w:r>
      <w:r w:rsidR="00D65B5E" w:rsidRPr="00E263F2">
        <w:rPr>
          <w:b/>
          <w:bCs/>
          <w:sz w:val="22"/>
          <w:szCs w:val="22"/>
          <w:u w:val="single"/>
        </w:rPr>
        <w:t> </w:t>
      </w:r>
      <w:r w:rsidRPr="00E263F2">
        <w:rPr>
          <w:b/>
          <w:bCs/>
          <w:sz w:val="22"/>
          <w:szCs w:val="22"/>
          <w:u w:val="single"/>
        </w:rPr>
        <w:t>lokalitě</w:t>
      </w:r>
      <w:r w:rsidR="00D65B5E">
        <w:rPr>
          <w:sz w:val="22"/>
          <w:szCs w:val="22"/>
        </w:rPr>
        <w:t xml:space="preserve">, </w:t>
      </w:r>
      <w:r>
        <w:rPr>
          <w:sz w:val="22"/>
          <w:szCs w:val="22"/>
        </w:rPr>
        <w:t>a ke</w:t>
      </w:r>
      <w:r w:rsidR="00D65B5E">
        <w:rPr>
          <w:sz w:val="22"/>
          <w:szCs w:val="22"/>
        </w:rPr>
        <w:t> </w:t>
      </w:r>
      <w:r>
        <w:rPr>
          <w:sz w:val="22"/>
          <w:szCs w:val="22"/>
        </w:rPr>
        <w:t>zvýšení její atraktivity. Projekt je koncipován takovým způsobem, aby doplňoval stávající služby poskytované v rámci OC</w:t>
      </w:r>
      <w:r w:rsidR="00D65B5E">
        <w:rPr>
          <w:sz w:val="22"/>
          <w:szCs w:val="22"/>
        </w:rPr>
        <w:t> </w:t>
      </w:r>
      <w:r>
        <w:rPr>
          <w:sz w:val="22"/>
          <w:szCs w:val="22"/>
        </w:rPr>
        <w:t>Koksovna, zejména pak v oblasti služeb péče o tělo, zdraví a volný čas. Konkrétně se jedná o</w:t>
      </w:r>
      <w:r w:rsidR="00D65B5E">
        <w:rPr>
          <w:sz w:val="22"/>
          <w:szCs w:val="22"/>
        </w:rPr>
        <w:t> </w:t>
      </w:r>
      <w:r>
        <w:rPr>
          <w:sz w:val="22"/>
          <w:szCs w:val="22"/>
        </w:rPr>
        <w:t xml:space="preserve">rozšíření nabídky například </w:t>
      </w:r>
      <w:r w:rsidR="00D65B5E">
        <w:rPr>
          <w:sz w:val="22"/>
          <w:szCs w:val="22"/>
        </w:rPr>
        <w:t>o kadeřnické</w:t>
      </w:r>
      <w:r>
        <w:rPr>
          <w:sz w:val="22"/>
          <w:szCs w:val="22"/>
        </w:rPr>
        <w:t xml:space="preserve"> a kosmetické služby, masáže a</w:t>
      </w:r>
      <w:r w:rsidR="00D65B5E">
        <w:rPr>
          <w:sz w:val="22"/>
          <w:szCs w:val="22"/>
        </w:rPr>
        <w:t> </w:t>
      </w:r>
      <w:r>
        <w:rPr>
          <w:sz w:val="22"/>
          <w:szCs w:val="22"/>
        </w:rPr>
        <w:t>regenerační procedury, nehtovou modeláž a další související služby.</w:t>
      </w:r>
    </w:p>
    <w:p w14:paraId="5BDD7F08" w14:textId="77777777" w:rsidR="00FA0A93" w:rsidRDefault="00FA0A93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35F03C42" w14:textId="31D42955" w:rsidR="00FA0A93" w:rsidRPr="002D3386" w:rsidRDefault="00FA0A93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 w:rsidRPr="002D3386">
        <w:rPr>
          <w:sz w:val="22"/>
          <w:szCs w:val="22"/>
        </w:rPr>
        <w:t>Je v zájmu Žadatele, aby se daná lokalita nadále rozrůstala a zvelebovala a nabízela další služby jako je kadeřnictví, masáže, či pedikúra</w:t>
      </w:r>
      <w:r w:rsidR="00D77D81">
        <w:rPr>
          <w:sz w:val="22"/>
          <w:szCs w:val="22"/>
        </w:rPr>
        <w:t xml:space="preserve"> a </w:t>
      </w:r>
      <w:r w:rsidRPr="002D3386">
        <w:rPr>
          <w:sz w:val="22"/>
          <w:szCs w:val="22"/>
        </w:rPr>
        <w:t xml:space="preserve">manikúra, protože tyto služby v dané lokalitě chybí a jejich dostupnost pozvedne OC KOKSOVNA i danou lokalitu. Žadatel v současné době jedná i s majiteli okolních pozemků o možnosti jejich odkupu, přičemž finálním cílem žadatele je </w:t>
      </w:r>
      <w:r w:rsidRPr="002D3386">
        <w:rPr>
          <w:b/>
          <w:bCs/>
          <w:sz w:val="22"/>
          <w:szCs w:val="22"/>
          <w:u w:val="single"/>
        </w:rPr>
        <w:t xml:space="preserve">vznik uceleného komplexu s nabídkou zboží a služeb pro širokou veřejnost. </w:t>
      </w:r>
      <w:r w:rsidRPr="002D3386">
        <w:rPr>
          <w:sz w:val="22"/>
          <w:szCs w:val="22"/>
        </w:rPr>
        <w:t xml:space="preserve">Stavba č. p. 624 v k. ú. Přívoz bude zrekonstruována případně zdemolována a opětovně vystavena, přičemž cílem je </w:t>
      </w:r>
      <w:r w:rsidRPr="002D3386">
        <w:rPr>
          <w:b/>
          <w:bCs/>
          <w:sz w:val="22"/>
          <w:szCs w:val="22"/>
          <w:u w:val="single"/>
        </w:rPr>
        <w:t>vybudování odpočinkového a</w:t>
      </w:r>
      <w:r w:rsidR="00C60E8C" w:rsidRPr="002D3386">
        <w:rPr>
          <w:b/>
          <w:bCs/>
          <w:sz w:val="22"/>
          <w:szCs w:val="22"/>
          <w:u w:val="single"/>
        </w:rPr>
        <w:t> </w:t>
      </w:r>
      <w:r w:rsidRPr="002D3386">
        <w:rPr>
          <w:b/>
          <w:bCs/>
          <w:sz w:val="22"/>
          <w:szCs w:val="22"/>
          <w:u w:val="single"/>
        </w:rPr>
        <w:t>relaxačního wellness centra pro širokou veřejnost</w:t>
      </w:r>
      <w:r w:rsidRPr="002D3386">
        <w:rPr>
          <w:sz w:val="22"/>
          <w:szCs w:val="22"/>
        </w:rPr>
        <w:t xml:space="preserve">. Tento </w:t>
      </w:r>
      <w:r w:rsidR="00C60E8C" w:rsidRPr="002D3386">
        <w:rPr>
          <w:sz w:val="22"/>
          <w:szCs w:val="22"/>
        </w:rPr>
        <w:t xml:space="preserve">záměr </w:t>
      </w:r>
      <w:r w:rsidRPr="002D3386">
        <w:rPr>
          <w:sz w:val="22"/>
          <w:szCs w:val="22"/>
        </w:rPr>
        <w:t xml:space="preserve">tak představuje strategickou </w:t>
      </w:r>
      <w:r w:rsidRPr="002D3386">
        <w:rPr>
          <w:b/>
          <w:bCs/>
          <w:sz w:val="22"/>
          <w:szCs w:val="22"/>
          <w:u w:val="single"/>
        </w:rPr>
        <w:t>investici</w:t>
      </w:r>
      <w:r w:rsidR="00C60E8C" w:rsidRPr="002D3386">
        <w:rPr>
          <w:b/>
          <w:bCs/>
          <w:sz w:val="22"/>
          <w:szCs w:val="22"/>
          <w:u w:val="single"/>
        </w:rPr>
        <w:t xml:space="preserve"> směřující k dalšímu rozvoji podnikatelského prostředí v k. ú. Přívoz</w:t>
      </w:r>
      <w:r w:rsidR="00C60E8C" w:rsidRPr="002D3386">
        <w:rPr>
          <w:sz w:val="22"/>
          <w:szCs w:val="22"/>
        </w:rPr>
        <w:t xml:space="preserve"> a jeho realizace tak</w:t>
      </w:r>
      <w:r w:rsidR="00D16487">
        <w:rPr>
          <w:sz w:val="22"/>
          <w:szCs w:val="22"/>
        </w:rPr>
        <w:t> </w:t>
      </w:r>
      <w:r w:rsidR="00C60E8C" w:rsidRPr="002D3386">
        <w:rPr>
          <w:b/>
          <w:bCs/>
          <w:sz w:val="22"/>
          <w:szCs w:val="22"/>
          <w:u w:val="single"/>
        </w:rPr>
        <w:t>přinese měřitelný přínos jak pro místní ekonomiku, tak pro obyvatele</w:t>
      </w:r>
      <w:r w:rsidR="00C60E8C" w:rsidRPr="002D3386">
        <w:rPr>
          <w:sz w:val="22"/>
          <w:szCs w:val="22"/>
        </w:rPr>
        <w:t xml:space="preserve">, neboť rozšířením nabídky obchodního centra dojde k rozšíření a zkvalitnění poskytovaných služeb a zboží. Zmodernizované prostory navíc </w:t>
      </w:r>
      <w:r w:rsidR="00C60E8C" w:rsidRPr="002D3386">
        <w:rPr>
          <w:b/>
          <w:bCs/>
          <w:sz w:val="22"/>
          <w:szCs w:val="22"/>
          <w:u w:val="single"/>
        </w:rPr>
        <w:t>přilákají nové podnikatele a tím zvýší atraktivitu lokality</w:t>
      </w:r>
      <w:r w:rsidR="00C60E8C" w:rsidRPr="002D3386">
        <w:rPr>
          <w:sz w:val="22"/>
          <w:szCs w:val="22"/>
        </w:rPr>
        <w:t>.</w:t>
      </w:r>
    </w:p>
    <w:p w14:paraId="54244C4C" w14:textId="77777777" w:rsidR="00B76721" w:rsidRDefault="00B76721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4DAB62A8" w14:textId="1CC95DFE" w:rsidR="0079446C" w:rsidRDefault="00B76721" w:rsidP="001D476B">
      <w:pPr>
        <w:pStyle w:val="Normlnweb"/>
        <w:spacing w:line="276" w:lineRule="auto"/>
        <w:contextualSpacing/>
        <w:jc w:val="both"/>
        <w:rPr>
          <w:sz w:val="22"/>
        </w:rPr>
      </w:pPr>
      <w:r>
        <w:rPr>
          <w:sz w:val="22"/>
        </w:rPr>
        <w:t xml:space="preserve">Pro úplnost uvádíme, že k </w:t>
      </w:r>
      <w:r w:rsidRPr="003F6DE8">
        <w:rPr>
          <w:sz w:val="22"/>
        </w:rPr>
        <w:t>části pozemku p. p. č. 369/5 má Žadatel s</w:t>
      </w:r>
      <w:r>
        <w:rPr>
          <w:sz w:val="22"/>
        </w:rPr>
        <w:t xml:space="preserve"> </w:t>
      </w:r>
      <w:r w:rsidRPr="003F6DE8">
        <w:rPr>
          <w:sz w:val="22"/>
        </w:rPr>
        <w:t>městským obvodem</w:t>
      </w:r>
      <w:r>
        <w:rPr>
          <w:sz w:val="22"/>
        </w:rPr>
        <w:t xml:space="preserve"> Moravská Ostrava a Přívoz </w:t>
      </w:r>
      <w:r w:rsidRPr="003F6DE8">
        <w:rPr>
          <w:sz w:val="22"/>
        </w:rPr>
        <w:t xml:space="preserve">uzavřenou nájemní smlouvu, za účelem umístění a užívání stavby sjezdu </w:t>
      </w:r>
      <w:r>
        <w:rPr>
          <w:sz w:val="22"/>
        </w:rPr>
        <w:t>o</w:t>
      </w:r>
      <w:r w:rsidRPr="003F6DE8">
        <w:rPr>
          <w:sz w:val="22"/>
        </w:rPr>
        <w:t xml:space="preserve"> ploše </w:t>
      </w:r>
      <w:r>
        <w:rPr>
          <w:sz w:val="22"/>
        </w:rPr>
        <w:br/>
      </w:r>
      <w:r w:rsidRPr="003F6DE8">
        <w:rPr>
          <w:sz w:val="22"/>
        </w:rPr>
        <w:t>68,59 m</w:t>
      </w:r>
      <w:r w:rsidRPr="00CE5129">
        <w:rPr>
          <w:sz w:val="22"/>
          <w:vertAlign w:val="superscript"/>
        </w:rPr>
        <w:t>2</w:t>
      </w:r>
      <w:r w:rsidRPr="003F6DE8">
        <w:rPr>
          <w:sz w:val="22"/>
        </w:rPr>
        <w:t>, který</w:t>
      </w:r>
      <w:r>
        <w:rPr>
          <w:sz w:val="22"/>
        </w:rPr>
        <w:t xml:space="preserve"> se </w:t>
      </w:r>
      <w:r w:rsidRPr="003F6DE8">
        <w:rPr>
          <w:sz w:val="22"/>
        </w:rPr>
        <w:t>napojuje</w:t>
      </w:r>
      <w:r>
        <w:rPr>
          <w:sz w:val="22"/>
        </w:rPr>
        <w:t xml:space="preserve"> na</w:t>
      </w:r>
      <w:r w:rsidRPr="003F6DE8">
        <w:rPr>
          <w:sz w:val="22"/>
        </w:rPr>
        <w:t xml:space="preserve"> pozemek p. p. č. 365/1, na němž je umístěna výše uvedená stavba </w:t>
      </w:r>
      <w:r w:rsidR="00533C1B">
        <w:rPr>
          <w:sz w:val="22"/>
        </w:rPr>
        <w:br/>
      </w:r>
      <w:r w:rsidRPr="003F6DE8">
        <w:rPr>
          <w:sz w:val="22"/>
        </w:rPr>
        <w:t>ve vlastnictví Žadatele</w:t>
      </w:r>
      <w:r>
        <w:rPr>
          <w:sz w:val="22"/>
        </w:rPr>
        <w:t xml:space="preserve">. </w:t>
      </w:r>
      <w:r w:rsidRPr="003F6DE8">
        <w:rPr>
          <w:sz w:val="22"/>
        </w:rPr>
        <w:t>Žadatel sjezd vybudoval v rámci uvedené stavby. Nájem je</w:t>
      </w:r>
      <w:r>
        <w:rPr>
          <w:sz w:val="22"/>
        </w:rPr>
        <w:t xml:space="preserve"> </w:t>
      </w:r>
      <w:r w:rsidRPr="003F6DE8">
        <w:rPr>
          <w:sz w:val="22"/>
        </w:rPr>
        <w:t xml:space="preserve">sjednán na dobu určitou 25 let ode dne uzavření smlouvy, tj. ode dne 17. 7. 2023. </w:t>
      </w:r>
    </w:p>
    <w:p w14:paraId="2E0FDF40" w14:textId="77777777" w:rsidR="0060454F" w:rsidRPr="0060454F" w:rsidRDefault="0060454F" w:rsidP="001D476B">
      <w:pPr>
        <w:pStyle w:val="Normlnweb"/>
        <w:spacing w:line="276" w:lineRule="auto"/>
        <w:contextualSpacing/>
        <w:jc w:val="both"/>
        <w:rPr>
          <w:sz w:val="22"/>
        </w:rPr>
      </w:pPr>
    </w:p>
    <w:p w14:paraId="36C93DCD" w14:textId="343A1C5E" w:rsidR="005F56BB" w:rsidRDefault="005F56BB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Informace:</w:t>
      </w:r>
    </w:p>
    <w:p w14:paraId="00BDE268" w14:textId="6C330F42" w:rsidR="00E452E5" w:rsidRDefault="0079446C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Dle původní žádosti, kterou Žadatel předložil </w:t>
      </w:r>
      <w:r w:rsidR="00C612A8">
        <w:rPr>
          <w:sz w:val="22"/>
          <w:szCs w:val="22"/>
        </w:rPr>
        <w:t>m</w:t>
      </w:r>
      <w:r>
        <w:rPr>
          <w:sz w:val="22"/>
          <w:szCs w:val="22"/>
        </w:rPr>
        <w:t xml:space="preserve">ěstskému obvodu Moravská Ostrava a Přívoz byly součástí zájmu </w:t>
      </w:r>
      <w:r w:rsidR="00176CF6">
        <w:rPr>
          <w:sz w:val="22"/>
          <w:szCs w:val="22"/>
        </w:rPr>
        <w:t>Ž</w:t>
      </w:r>
      <w:r>
        <w:rPr>
          <w:sz w:val="22"/>
          <w:szCs w:val="22"/>
        </w:rPr>
        <w:t xml:space="preserve">adatele tři nemovité věci. Krom výše zmíněných </w:t>
      </w:r>
      <w:r w:rsidR="00A32900">
        <w:rPr>
          <w:sz w:val="22"/>
          <w:szCs w:val="22"/>
        </w:rPr>
        <w:t xml:space="preserve">pozemků </w:t>
      </w:r>
      <w:r>
        <w:rPr>
          <w:sz w:val="22"/>
          <w:szCs w:val="22"/>
        </w:rPr>
        <w:t>zde byl též zájem o</w:t>
      </w:r>
      <w:r w:rsidR="00A32900">
        <w:rPr>
          <w:sz w:val="22"/>
          <w:szCs w:val="22"/>
        </w:rPr>
        <w:t> </w:t>
      </w:r>
      <w:r>
        <w:rPr>
          <w:sz w:val="22"/>
          <w:szCs w:val="22"/>
        </w:rPr>
        <w:t>odkoupení části pozemku p. p. č. 369/5 ostatní plocha, ostatní komunikace o výměře 69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 k.</w:t>
      </w:r>
      <w:r w:rsidR="00A32900">
        <w:rPr>
          <w:sz w:val="22"/>
          <w:szCs w:val="22"/>
        </w:rPr>
        <w:t> </w:t>
      </w:r>
      <w:r>
        <w:rPr>
          <w:sz w:val="22"/>
          <w:szCs w:val="22"/>
        </w:rPr>
        <w:t>ú.</w:t>
      </w:r>
      <w:r w:rsidR="00A32900">
        <w:rPr>
          <w:sz w:val="22"/>
          <w:szCs w:val="22"/>
        </w:rPr>
        <w:t> </w:t>
      </w:r>
      <w:r>
        <w:rPr>
          <w:sz w:val="22"/>
          <w:szCs w:val="22"/>
        </w:rPr>
        <w:t xml:space="preserve">Přívoz, obec Ostrava, ve vlastnictví statutárního města Ostravy, svěřeno městskému obvodu Moravská Ostrava a Přívoz. </w:t>
      </w:r>
    </w:p>
    <w:p w14:paraId="67F933F1" w14:textId="77777777" w:rsidR="00E452E5" w:rsidRDefault="00E452E5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4F3D945D" w14:textId="690AB099" w:rsidR="00EF0DD8" w:rsidRDefault="0079446C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Městský obvod Moravská Ostrava a Přívoz vůči možnosti prodeje </w:t>
      </w:r>
      <w:r w:rsidR="00C612A8">
        <w:rPr>
          <w:sz w:val="22"/>
          <w:szCs w:val="22"/>
        </w:rPr>
        <w:t xml:space="preserve">části pozemku p. p. č. 369/5 </w:t>
      </w:r>
      <w:r>
        <w:rPr>
          <w:sz w:val="22"/>
          <w:szCs w:val="22"/>
        </w:rPr>
        <w:t>přijal nesouhlasné stanovisko</w:t>
      </w:r>
      <w:r w:rsidR="00DD7F69">
        <w:rPr>
          <w:sz w:val="22"/>
          <w:szCs w:val="22"/>
        </w:rPr>
        <w:t>, neboť požadovaná část pozemku p.</w:t>
      </w:r>
      <w:r w:rsidR="00BC006D">
        <w:rPr>
          <w:sz w:val="22"/>
          <w:szCs w:val="22"/>
        </w:rPr>
        <w:t xml:space="preserve"> </w:t>
      </w:r>
      <w:r w:rsidR="00DD7F69">
        <w:rPr>
          <w:sz w:val="22"/>
          <w:szCs w:val="22"/>
        </w:rPr>
        <w:t>p.</w:t>
      </w:r>
      <w:r w:rsidR="00BC006D">
        <w:rPr>
          <w:sz w:val="22"/>
          <w:szCs w:val="22"/>
        </w:rPr>
        <w:t xml:space="preserve"> </w:t>
      </w:r>
      <w:r w:rsidR="00DD7F69">
        <w:rPr>
          <w:sz w:val="22"/>
          <w:szCs w:val="22"/>
        </w:rPr>
        <w:t>č. 369/5 bezprostředně navazuje na místní komunikaci III. třídy ul. K Lávce.</w:t>
      </w:r>
      <w:r>
        <w:rPr>
          <w:sz w:val="22"/>
          <w:szCs w:val="22"/>
        </w:rPr>
        <w:t xml:space="preserve"> </w:t>
      </w:r>
    </w:p>
    <w:p w14:paraId="45F3317A" w14:textId="5CA8B53C" w:rsidR="009F04FD" w:rsidRDefault="00DD7F69" w:rsidP="001D476B">
      <w:pPr>
        <w:pStyle w:val="Normlnweb"/>
        <w:spacing w:line="276" w:lineRule="auto"/>
        <w:contextualSpacing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 xml:space="preserve">K prodeji předmětné části pozemku se záporně vyjádřili i některé odvětvové odbory </w:t>
      </w:r>
      <w:r w:rsidR="0079446C">
        <w:rPr>
          <w:sz w:val="22"/>
          <w:szCs w:val="22"/>
        </w:rPr>
        <w:t>Magistrátu města Ostravy</w:t>
      </w:r>
      <w:r>
        <w:rPr>
          <w:sz w:val="22"/>
          <w:szCs w:val="22"/>
        </w:rPr>
        <w:t xml:space="preserve">, zejména pak </w:t>
      </w:r>
      <w:r w:rsidR="0079446C" w:rsidRPr="00480E51">
        <w:rPr>
          <w:b/>
          <w:bCs/>
          <w:sz w:val="22"/>
          <w:szCs w:val="22"/>
        </w:rPr>
        <w:t>odbor dopravy, který uvedl že</w:t>
      </w:r>
      <w:r w:rsidR="00010E8D">
        <w:rPr>
          <w:sz w:val="22"/>
          <w:szCs w:val="22"/>
        </w:rPr>
        <w:t>:</w:t>
      </w:r>
      <w:r w:rsidR="0079446C">
        <w:rPr>
          <w:sz w:val="22"/>
          <w:szCs w:val="22"/>
        </w:rPr>
        <w:t xml:space="preserve"> </w:t>
      </w:r>
      <w:r w:rsidR="00010E8D" w:rsidRPr="00010E8D">
        <w:rPr>
          <w:i/>
          <w:iCs/>
          <w:sz w:val="22"/>
          <w:szCs w:val="22"/>
        </w:rPr>
        <w:t xml:space="preserve">Pozemek p. p. č. 369/5 bezprostředně navazuje na místní komunikaci III. třídy ul. K Lávce s kmenovým číslem 76c. V daném místě tvoří vozovka směrový oblouk. </w:t>
      </w:r>
      <w:r w:rsidR="005570A2">
        <w:rPr>
          <w:i/>
          <w:iCs/>
          <w:sz w:val="22"/>
          <w:szCs w:val="22"/>
        </w:rPr>
        <w:t xml:space="preserve">Prodej pozemku nedoporučuje pro </w:t>
      </w:r>
      <w:r w:rsidR="00010E8D" w:rsidRPr="005570A2">
        <w:rPr>
          <w:i/>
          <w:iCs/>
          <w:sz w:val="22"/>
          <w:szCs w:val="22"/>
        </w:rPr>
        <w:t xml:space="preserve">případné zlepšení </w:t>
      </w:r>
      <w:r w:rsidR="005570A2" w:rsidRPr="005570A2">
        <w:rPr>
          <w:i/>
          <w:iCs/>
          <w:sz w:val="22"/>
          <w:szCs w:val="22"/>
        </w:rPr>
        <w:t xml:space="preserve">současných </w:t>
      </w:r>
      <w:r w:rsidR="00010E8D" w:rsidRPr="005570A2">
        <w:rPr>
          <w:i/>
          <w:iCs/>
          <w:sz w:val="22"/>
          <w:szCs w:val="22"/>
        </w:rPr>
        <w:t xml:space="preserve">technických parametrů. </w:t>
      </w:r>
    </w:p>
    <w:p w14:paraId="708572F2" w14:textId="77777777" w:rsidR="00E452E5" w:rsidRDefault="00E452E5" w:rsidP="001D476B">
      <w:pPr>
        <w:pStyle w:val="Normlnweb"/>
        <w:spacing w:line="276" w:lineRule="auto"/>
        <w:contextualSpacing/>
        <w:jc w:val="both"/>
        <w:rPr>
          <w:i/>
          <w:iCs/>
          <w:sz w:val="22"/>
          <w:szCs w:val="22"/>
        </w:rPr>
      </w:pPr>
    </w:p>
    <w:p w14:paraId="37BD698C" w14:textId="7F9D29C6" w:rsidR="00E452E5" w:rsidRDefault="00DD7F69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 základě těchto stanovisek, po konzultaci s odborem majetkovým, žadatel o odkoupení části pozemku p.</w:t>
      </w:r>
      <w:r w:rsidR="00B13A1E">
        <w:rPr>
          <w:sz w:val="22"/>
          <w:szCs w:val="22"/>
        </w:rPr>
        <w:t xml:space="preserve"> </w:t>
      </w:r>
      <w:r>
        <w:rPr>
          <w:sz w:val="22"/>
          <w:szCs w:val="22"/>
        </w:rPr>
        <w:t>p.</w:t>
      </w:r>
      <w:r w:rsidR="00B13A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369/5 odstoupil a </w:t>
      </w:r>
      <w:r w:rsidR="00E452E5">
        <w:rPr>
          <w:sz w:val="22"/>
          <w:szCs w:val="22"/>
        </w:rPr>
        <w:t>sdělil, že</w:t>
      </w:r>
      <w:r w:rsidR="00480E51">
        <w:rPr>
          <w:sz w:val="22"/>
          <w:szCs w:val="22"/>
        </w:rPr>
        <w:t> </w:t>
      </w:r>
      <w:r>
        <w:rPr>
          <w:sz w:val="22"/>
          <w:szCs w:val="22"/>
        </w:rPr>
        <w:t>m</w:t>
      </w:r>
      <w:r w:rsidR="00E452E5">
        <w:rPr>
          <w:sz w:val="22"/>
          <w:szCs w:val="22"/>
        </w:rPr>
        <w:t>á stále zájem o odkoupení pozemků p.</w:t>
      </w:r>
      <w:r w:rsidR="006A1F4B">
        <w:rPr>
          <w:sz w:val="22"/>
          <w:szCs w:val="22"/>
        </w:rPr>
        <w:t> </w:t>
      </w:r>
      <w:r w:rsidR="00E452E5">
        <w:rPr>
          <w:sz w:val="22"/>
          <w:szCs w:val="22"/>
        </w:rPr>
        <w:t>č.</w:t>
      </w:r>
      <w:r w:rsidR="006A1F4B">
        <w:rPr>
          <w:sz w:val="22"/>
          <w:szCs w:val="22"/>
        </w:rPr>
        <w:t> </w:t>
      </w:r>
      <w:r w:rsidR="00E452E5">
        <w:rPr>
          <w:sz w:val="22"/>
          <w:szCs w:val="22"/>
        </w:rPr>
        <w:t>st.</w:t>
      </w:r>
      <w:r w:rsidR="006A1F4B">
        <w:rPr>
          <w:sz w:val="22"/>
          <w:szCs w:val="22"/>
        </w:rPr>
        <w:t> </w:t>
      </w:r>
      <w:r w:rsidR="00E452E5">
        <w:rPr>
          <w:sz w:val="22"/>
          <w:szCs w:val="22"/>
        </w:rPr>
        <w:t>590 a p. p. č. 369/4 v k.</w:t>
      </w:r>
      <w:r w:rsidR="005226FF">
        <w:rPr>
          <w:sz w:val="22"/>
          <w:szCs w:val="22"/>
        </w:rPr>
        <w:t> </w:t>
      </w:r>
      <w:r w:rsidR="00E452E5">
        <w:rPr>
          <w:sz w:val="22"/>
          <w:szCs w:val="22"/>
        </w:rPr>
        <w:t>ú. Přívoz při zachování účelu odkoupení.</w:t>
      </w:r>
      <w:r w:rsidR="0079004A">
        <w:rPr>
          <w:sz w:val="22"/>
          <w:szCs w:val="22"/>
        </w:rPr>
        <w:t xml:space="preserve"> Tento fakt se odráží i</w:t>
      </w:r>
      <w:r w:rsidR="006A1F4B">
        <w:rPr>
          <w:sz w:val="22"/>
          <w:szCs w:val="22"/>
        </w:rPr>
        <w:t> </w:t>
      </w:r>
      <w:r w:rsidR="0079004A">
        <w:rPr>
          <w:sz w:val="22"/>
          <w:szCs w:val="22"/>
        </w:rPr>
        <w:t>v aktualizovan</w:t>
      </w:r>
      <w:r w:rsidR="00B76721">
        <w:rPr>
          <w:sz w:val="22"/>
          <w:szCs w:val="22"/>
        </w:rPr>
        <w:t>á</w:t>
      </w:r>
      <w:r w:rsidR="0079004A">
        <w:rPr>
          <w:sz w:val="22"/>
          <w:szCs w:val="22"/>
        </w:rPr>
        <w:t xml:space="preserve"> žádost, kterou</w:t>
      </w:r>
      <w:r w:rsidR="00D16487">
        <w:rPr>
          <w:sz w:val="22"/>
          <w:szCs w:val="22"/>
        </w:rPr>
        <w:t> </w:t>
      </w:r>
      <w:r w:rsidR="0079004A">
        <w:rPr>
          <w:sz w:val="22"/>
          <w:szCs w:val="22"/>
        </w:rPr>
        <w:t>Žadatel podal na základě výzvy k doplnění informací.</w:t>
      </w:r>
    </w:p>
    <w:p w14:paraId="344770CE" w14:textId="77777777" w:rsidR="00E452E5" w:rsidRDefault="00E452E5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518FA17A" w14:textId="3B0515AD" w:rsidR="00E452E5" w:rsidRDefault="00E452E5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 úplnost dodáváme,</w:t>
      </w:r>
      <w:r w:rsidR="00DD7F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že </w:t>
      </w:r>
      <w:r w:rsidR="00DD7F69">
        <w:rPr>
          <w:sz w:val="22"/>
          <w:szCs w:val="22"/>
        </w:rPr>
        <w:t xml:space="preserve">původně </w:t>
      </w:r>
      <w:r>
        <w:rPr>
          <w:sz w:val="22"/>
          <w:szCs w:val="22"/>
        </w:rPr>
        <w:t xml:space="preserve">odbor </w:t>
      </w:r>
      <w:r w:rsidR="00176CF6">
        <w:rPr>
          <w:sz w:val="22"/>
          <w:szCs w:val="22"/>
        </w:rPr>
        <w:t>ú</w:t>
      </w:r>
      <w:r>
        <w:rPr>
          <w:sz w:val="22"/>
          <w:szCs w:val="22"/>
        </w:rPr>
        <w:t xml:space="preserve">zemního plánování a stavebního řádu vydal nesouhlasné stanovisko z důvodu nedostatečného popisu záměru a doporučil vyzvat Žadatele o doplnění informací. Po následné komunikaci mezi odborem </w:t>
      </w:r>
      <w:r w:rsidR="00176CF6">
        <w:rPr>
          <w:sz w:val="22"/>
          <w:szCs w:val="22"/>
        </w:rPr>
        <w:t>ú</w:t>
      </w:r>
      <w:r>
        <w:rPr>
          <w:sz w:val="22"/>
          <w:szCs w:val="22"/>
        </w:rPr>
        <w:t xml:space="preserve">zemního plánování a stavebního řádu, odborem majetkovým </w:t>
      </w:r>
      <w:r w:rsidR="00DD7F69">
        <w:rPr>
          <w:sz w:val="22"/>
          <w:szCs w:val="22"/>
        </w:rPr>
        <w:br/>
      </w:r>
      <w:r>
        <w:rPr>
          <w:sz w:val="22"/>
          <w:szCs w:val="22"/>
        </w:rPr>
        <w:t>a Žadatelem byl</w:t>
      </w:r>
      <w:r w:rsidR="001A1D8C">
        <w:rPr>
          <w:sz w:val="22"/>
          <w:szCs w:val="22"/>
        </w:rPr>
        <w:t>y</w:t>
      </w:r>
      <w:r>
        <w:rPr>
          <w:sz w:val="22"/>
          <w:szCs w:val="22"/>
        </w:rPr>
        <w:t xml:space="preserve"> postupně doplněn</w:t>
      </w:r>
      <w:r w:rsidR="001A1D8C">
        <w:rPr>
          <w:sz w:val="22"/>
          <w:szCs w:val="22"/>
        </w:rPr>
        <w:t xml:space="preserve">y </w:t>
      </w:r>
      <w:r>
        <w:rPr>
          <w:sz w:val="22"/>
          <w:szCs w:val="22"/>
        </w:rPr>
        <w:t>informac</w:t>
      </w:r>
      <w:r w:rsidR="001A1D8C">
        <w:rPr>
          <w:sz w:val="22"/>
          <w:szCs w:val="22"/>
        </w:rPr>
        <w:t>e</w:t>
      </w:r>
      <w:r>
        <w:rPr>
          <w:sz w:val="22"/>
          <w:szCs w:val="22"/>
        </w:rPr>
        <w:t xml:space="preserve">, které dostatečně </w:t>
      </w:r>
      <w:r w:rsidR="00F25EFA">
        <w:rPr>
          <w:sz w:val="22"/>
          <w:szCs w:val="22"/>
        </w:rPr>
        <w:t xml:space="preserve">a </w:t>
      </w:r>
      <w:r>
        <w:rPr>
          <w:sz w:val="22"/>
          <w:szCs w:val="22"/>
        </w:rPr>
        <w:t>podrobně popsaly záměr Žadatele v lokalitě a účel odkoupení pozemků</w:t>
      </w:r>
      <w:r w:rsidR="00EF098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25EFA">
        <w:rPr>
          <w:sz w:val="22"/>
          <w:szCs w:val="22"/>
        </w:rPr>
        <w:t xml:space="preserve">Nové stanovisko stran odboru územního plánování </w:t>
      </w:r>
      <w:r w:rsidR="00EF0986">
        <w:rPr>
          <w:sz w:val="22"/>
          <w:szCs w:val="22"/>
        </w:rPr>
        <w:br/>
      </w:r>
      <w:r w:rsidR="00F25EFA">
        <w:rPr>
          <w:sz w:val="22"/>
          <w:szCs w:val="22"/>
        </w:rPr>
        <w:t>a stavebního řádu ze dne 17. 3. 2026 pak vyjádřilo souhlas s prodejem pozemků</w:t>
      </w:r>
      <w:r w:rsidR="001A1DDE" w:rsidRPr="001A1DDE">
        <w:rPr>
          <w:sz w:val="22"/>
          <w:szCs w:val="22"/>
        </w:rPr>
        <w:t xml:space="preserve"> </w:t>
      </w:r>
      <w:r w:rsidR="001A1DDE">
        <w:rPr>
          <w:sz w:val="22"/>
          <w:szCs w:val="22"/>
        </w:rPr>
        <w:t>p. č. st. 590 a</w:t>
      </w:r>
      <w:r w:rsidR="005226FF">
        <w:rPr>
          <w:sz w:val="22"/>
          <w:szCs w:val="22"/>
        </w:rPr>
        <w:t> </w:t>
      </w:r>
      <w:r w:rsidR="001A1DDE">
        <w:rPr>
          <w:sz w:val="22"/>
          <w:szCs w:val="22"/>
        </w:rPr>
        <w:t>p.</w:t>
      </w:r>
      <w:r w:rsidR="005226FF">
        <w:rPr>
          <w:sz w:val="22"/>
          <w:szCs w:val="22"/>
        </w:rPr>
        <w:t> </w:t>
      </w:r>
      <w:r w:rsidR="001A1DDE">
        <w:rPr>
          <w:sz w:val="22"/>
          <w:szCs w:val="22"/>
        </w:rPr>
        <w:t>p.</w:t>
      </w:r>
      <w:r w:rsidR="005226FF">
        <w:rPr>
          <w:sz w:val="22"/>
          <w:szCs w:val="22"/>
        </w:rPr>
        <w:t> </w:t>
      </w:r>
      <w:r w:rsidR="001A1DDE">
        <w:rPr>
          <w:sz w:val="22"/>
          <w:szCs w:val="22"/>
        </w:rPr>
        <w:t>č.</w:t>
      </w:r>
      <w:r w:rsidR="005226FF">
        <w:rPr>
          <w:sz w:val="22"/>
          <w:szCs w:val="22"/>
        </w:rPr>
        <w:t> </w:t>
      </w:r>
      <w:r w:rsidR="001A1DDE">
        <w:rPr>
          <w:sz w:val="22"/>
          <w:szCs w:val="22"/>
        </w:rPr>
        <w:t>369/4 v k. ú. Přívoz</w:t>
      </w:r>
      <w:r w:rsidR="00533C1B">
        <w:rPr>
          <w:sz w:val="22"/>
          <w:szCs w:val="22"/>
        </w:rPr>
        <w:t>, obec Ostrava.</w:t>
      </w:r>
    </w:p>
    <w:p w14:paraId="77F53D7B" w14:textId="77777777" w:rsidR="0005024A" w:rsidRDefault="0005024A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4412566B" w14:textId="37F6DF30" w:rsidR="00AC1427" w:rsidRDefault="00AC1427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Informace ke stavu </w:t>
      </w:r>
      <w:r w:rsidR="00CD0492">
        <w:rPr>
          <w:b/>
          <w:bCs/>
          <w:sz w:val="22"/>
          <w:szCs w:val="22"/>
          <w:u w:val="single"/>
        </w:rPr>
        <w:t>stavby č.p. 624</w:t>
      </w:r>
    </w:p>
    <w:p w14:paraId="33552B70" w14:textId="024C88B8" w:rsidR="00BD34BF" w:rsidRDefault="00AC1427" w:rsidP="00AC142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pozemku p. č. st. 590 je i stavba č.p. 624 </w:t>
      </w:r>
      <w:r w:rsidR="00BD34BF">
        <w:rPr>
          <w:sz w:val="22"/>
          <w:szCs w:val="22"/>
        </w:rPr>
        <w:t>(</w:t>
      </w:r>
      <w:r>
        <w:rPr>
          <w:sz w:val="22"/>
          <w:szCs w:val="22"/>
        </w:rPr>
        <w:t>občanská vybavenost</w:t>
      </w:r>
      <w:r w:rsidR="00BD34BF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BD34BF">
        <w:rPr>
          <w:sz w:val="22"/>
          <w:szCs w:val="22"/>
        </w:rPr>
        <w:t xml:space="preserve">přičemž tento pozemek a s ním spojená stavba jsou </w:t>
      </w:r>
      <w:r>
        <w:rPr>
          <w:sz w:val="22"/>
          <w:szCs w:val="22"/>
        </w:rPr>
        <w:t>ve funkčním celku s pozemkem p. p. č. 369/4. Stavba občanské vybavenosti je podsklepený trojpodlažní objekt, ve kterém jsou umístěny 2 nebytové prostory. Vytápění těchto prostor je řešeno plynovodními kotly (v neobsazeném nebytovém prostoru je kotel demontován). Ohřev</w:t>
      </w:r>
      <w:r w:rsidR="005226FF">
        <w:rPr>
          <w:sz w:val="22"/>
          <w:szCs w:val="22"/>
        </w:rPr>
        <w:t> </w:t>
      </w:r>
      <w:r>
        <w:rPr>
          <w:sz w:val="22"/>
          <w:szCs w:val="22"/>
        </w:rPr>
        <w:t xml:space="preserve">teplé užitkové vody je vyřešen elektrickým bojlerem. Prostory jsou umístěny ve dvou podlažích domu. </w:t>
      </w:r>
    </w:p>
    <w:p w14:paraId="1CB17F2F" w14:textId="77777777" w:rsidR="00BD34BF" w:rsidRDefault="00BD34BF" w:rsidP="00AC142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75041FFC" w14:textId="4F19FA30" w:rsidR="00AC1427" w:rsidRDefault="00AC1427" w:rsidP="00AC142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Oba nebytové prostory, stejně jako dům, jsou ve špatném stavu. Dřevěná okna i dveře jsou původní. Rozvody elektřiny v nebytových i společných prostorech jsou původní, stejně jako rozvody studené vody, odpady nebo plynovod. Neobsazený prostor je z důvodu velmi špatného technického stavu dlouhodobě volný. Největším problémem domu je nevyhovující stav střešního pláště</w:t>
      </w:r>
      <w:r w:rsidR="00154BBC">
        <w:rPr>
          <w:sz w:val="22"/>
          <w:szCs w:val="22"/>
        </w:rPr>
        <w:t xml:space="preserve">, </w:t>
      </w:r>
      <w:r>
        <w:rPr>
          <w:sz w:val="22"/>
          <w:szCs w:val="22"/>
        </w:rPr>
        <w:t>krovu a vlhké sklepy.</w:t>
      </w:r>
      <w:r w:rsidR="00CE5129">
        <w:rPr>
          <w:sz w:val="22"/>
          <w:szCs w:val="22"/>
        </w:rPr>
        <w:t xml:space="preserve"> </w:t>
      </w:r>
    </w:p>
    <w:p w14:paraId="38A58DBA" w14:textId="77777777" w:rsidR="00CE5129" w:rsidRDefault="00CE5129" w:rsidP="00AC142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68840E0F" w14:textId="64A0CDC4" w:rsidR="00CE5129" w:rsidRDefault="00CE5129" w:rsidP="00AC142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Stavba č. p. 624 vzhledem ke svému špatnému technickému stavu, který je popsán výše vyžaduje rozsáhlou rekonstrukci</w:t>
      </w:r>
      <w:r w:rsidR="002059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05971">
        <w:rPr>
          <w:sz w:val="22"/>
          <w:szCs w:val="22"/>
        </w:rPr>
        <w:t>C</w:t>
      </w:r>
      <w:r>
        <w:rPr>
          <w:sz w:val="22"/>
          <w:szCs w:val="22"/>
        </w:rPr>
        <w:t xml:space="preserve">elkové náklady na opravy a údržbu budovy č. p. 624 v letech 2018 až 2024 činily dle informací městského obvodu celkem cca 320 540 Kč včetně DPH. V roce 2021 oddělení správy majetku </w:t>
      </w:r>
      <w:r w:rsidR="001A1D8C">
        <w:rPr>
          <w:sz w:val="22"/>
          <w:szCs w:val="22"/>
        </w:rPr>
        <w:t xml:space="preserve">městského obvodu </w:t>
      </w:r>
      <w:r w:rsidR="00B21EC0">
        <w:rPr>
          <w:sz w:val="22"/>
          <w:szCs w:val="22"/>
        </w:rPr>
        <w:t>vyčíslilo náklady na realizaci opravy budovy č. p. 624 ve výši okolo 10 milionů korun</w:t>
      </w:r>
      <w:r>
        <w:rPr>
          <w:sz w:val="22"/>
          <w:szCs w:val="22"/>
        </w:rPr>
        <w:t xml:space="preserve">. </w:t>
      </w:r>
    </w:p>
    <w:p w14:paraId="0FE1E9FD" w14:textId="77777777" w:rsidR="00AC1427" w:rsidRDefault="00AC1427" w:rsidP="00AC1427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6F886D82" w14:textId="7A1F958D" w:rsidR="001A1D8C" w:rsidRDefault="00AC1427" w:rsidP="009E15A6">
      <w:pPr>
        <w:pStyle w:val="Normlnweb"/>
        <w:spacing w:line="276" w:lineRule="auto"/>
        <w:contextualSpacing/>
        <w:jc w:val="both"/>
        <w:rPr>
          <w:sz w:val="22"/>
        </w:rPr>
      </w:pPr>
      <w:r w:rsidRPr="00AC1427">
        <w:rPr>
          <w:sz w:val="22"/>
        </w:rPr>
        <w:t>K nebytovému prostoru v 1. NP je uzavřena nájemní smlouva ve znění dodatk</w:t>
      </w:r>
      <w:r w:rsidR="00BD34BF">
        <w:rPr>
          <w:sz w:val="22"/>
        </w:rPr>
        <w:t>ů</w:t>
      </w:r>
      <w:r w:rsidRPr="00AC1427">
        <w:rPr>
          <w:sz w:val="22"/>
        </w:rPr>
        <w:t xml:space="preserve"> č. 1-5</w:t>
      </w:r>
      <w:r w:rsidR="0005024A">
        <w:rPr>
          <w:sz w:val="22"/>
        </w:rPr>
        <w:t>, a to se společností CHOBOLA s.r.o.</w:t>
      </w:r>
      <w:r w:rsidRPr="00AC1427">
        <w:rPr>
          <w:sz w:val="22"/>
        </w:rPr>
        <w:t xml:space="preserve"> Pronajatý</w:t>
      </w:r>
      <w:r w:rsidR="00BD34BF">
        <w:rPr>
          <w:sz w:val="22"/>
        </w:rPr>
        <w:t> </w:t>
      </w:r>
      <w:r w:rsidRPr="00AC1427">
        <w:rPr>
          <w:sz w:val="22"/>
        </w:rPr>
        <w:t>nebytový prostor slouží jako prodejní sklady</w:t>
      </w:r>
      <w:r w:rsidR="003F6DE8">
        <w:rPr>
          <w:sz w:val="22"/>
        </w:rPr>
        <w:t xml:space="preserve">. </w:t>
      </w:r>
    </w:p>
    <w:p w14:paraId="4D4A43BE" w14:textId="77777777" w:rsidR="001A1D8C" w:rsidRDefault="001A1D8C" w:rsidP="001A1D8C">
      <w:pPr>
        <w:pStyle w:val="Normlnweb"/>
        <w:spacing w:line="276" w:lineRule="auto"/>
        <w:contextualSpacing/>
        <w:jc w:val="both"/>
        <w:rPr>
          <w:sz w:val="22"/>
        </w:rPr>
      </w:pPr>
    </w:p>
    <w:p w14:paraId="16545250" w14:textId="0B6FEC92" w:rsidR="001A1D8C" w:rsidRDefault="001A1D8C" w:rsidP="009E15A6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Informace </w:t>
      </w:r>
      <w:r w:rsidR="0005024A">
        <w:rPr>
          <w:b/>
          <w:bCs/>
          <w:sz w:val="22"/>
          <w:szCs w:val="22"/>
          <w:u w:val="single"/>
        </w:rPr>
        <w:t>k pozemku p.p.č. 369/4</w:t>
      </w:r>
    </w:p>
    <w:p w14:paraId="09E8AB30" w14:textId="76F999D5" w:rsidR="00B76721" w:rsidRDefault="00B76721" w:rsidP="009E15A6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Tento pozemek je ve funkčním celku s pozemkem p.č.st. 590.</w:t>
      </w:r>
    </w:p>
    <w:p w14:paraId="6054A229" w14:textId="608F7A5C" w:rsidR="003F6DE8" w:rsidRDefault="003F6DE8" w:rsidP="003F6DE8">
      <w:pPr>
        <w:pStyle w:val="Normlnweb"/>
        <w:spacing w:line="276" w:lineRule="auto"/>
        <w:contextualSpacing/>
        <w:jc w:val="both"/>
        <w:rPr>
          <w:sz w:val="22"/>
        </w:rPr>
      </w:pPr>
      <w:r w:rsidRPr="003F6DE8">
        <w:rPr>
          <w:sz w:val="22"/>
        </w:rPr>
        <w:t>Pozemek p. p. č. 369/4</w:t>
      </w:r>
      <w:r w:rsidR="00B76721">
        <w:rPr>
          <w:sz w:val="22"/>
        </w:rPr>
        <w:t>,</w:t>
      </w:r>
      <w:r w:rsidRPr="003F6DE8">
        <w:rPr>
          <w:sz w:val="22"/>
        </w:rPr>
        <w:t xml:space="preserve"> zahrada je oplocen a slouží jako příjezdová komunikace ke stavbě občanské</w:t>
      </w:r>
      <w:r w:rsidR="00AC0613">
        <w:rPr>
          <w:sz w:val="22"/>
        </w:rPr>
        <w:t xml:space="preserve"> </w:t>
      </w:r>
      <w:r w:rsidRPr="003F6DE8">
        <w:rPr>
          <w:sz w:val="22"/>
        </w:rPr>
        <w:t>vybavenosti, kterou využívá nájemce nebytového prostoru i jeho zákazníci. Na pozemku bylo v</w:t>
      </w:r>
      <w:r w:rsidR="00AC0613">
        <w:rPr>
          <w:sz w:val="22"/>
        </w:rPr>
        <w:t> </w:t>
      </w:r>
      <w:r w:rsidRPr="003F6DE8">
        <w:rPr>
          <w:sz w:val="22"/>
        </w:rPr>
        <w:t>roce</w:t>
      </w:r>
      <w:r w:rsidR="00AC0613">
        <w:rPr>
          <w:sz w:val="22"/>
        </w:rPr>
        <w:t xml:space="preserve"> </w:t>
      </w:r>
      <w:r w:rsidRPr="003F6DE8">
        <w:rPr>
          <w:sz w:val="22"/>
        </w:rPr>
        <w:t xml:space="preserve">2022 pokáceno 5 kusů dřevin a </w:t>
      </w:r>
      <w:r w:rsidR="00154BBC">
        <w:rPr>
          <w:sz w:val="22"/>
        </w:rPr>
        <w:t xml:space="preserve">byla </w:t>
      </w:r>
      <w:r w:rsidRPr="003F6DE8">
        <w:rPr>
          <w:sz w:val="22"/>
        </w:rPr>
        <w:t>uložena náhradní výsadba 5 kusů listnatých dřevin se zajištěním</w:t>
      </w:r>
      <w:r w:rsidR="00AC0613">
        <w:rPr>
          <w:sz w:val="22"/>
        </w:rPr>
        <w:t xml:space="preserve"> </w:t>
      </w:r>
      <w:r w:rsidRPr="003F6DE8">
        <w:rPr>
          <w:sz w:val="22"/>
        </w:rPr>
        <w:t>následné povýsadbové péče do listopadu 2027. Výsadba nových dřevin byla realizována na podzim roku</w:t>
      </w:r>
      <w:r w:rsidR="00AC0613">
        <w:rPr>
          <w:sz w:val="22"/>
        </w:rPr>
        <w:t xml:space="preserve"> </w:t>
      </w:r>
      <w:r w:rsidRPr="003F6DE8">
        <w:rPr>
          <w:sz w:val="22"/>
        </w:rPr>
        <w:lastRenderedPageBreak/>
        <w:t>2022. Celkové náklady na kácení, novou výsadbu a následnou péči za rok 2023 a 2024 činily celkem</w:t>
      </w:r>
      <w:r w:rsidR="00AC0613">
        <w:rPr>
          <w:sz w:val="22"/>
        </w:rPr>
        <w:t xml:space="preserve"> </w:t>
      </w:r>
      <w:r w:rsidRPr="003F6DE8">
        <w:rPr>
          <w:sz w:val="22"/>
        </w:rPr>
        <w:t>cca</w:t>
      </w:r>
      <w:r w:rsidR="00AC0613">
        <w:rPr>
          <w:sz w:val="22"/>
        </w:rPr>
        <w:t> </w:t>
      </w:r>
      <w:r w:rsidRPr="003F6DE8">
        <w:rPr>
          <w:sz w:val="22"/>
        </w:rPr>
        <w:t>272</w:t>
      </w:r>
      <w:r w:rsidR="00AC0613">
        <w:rPr>
          <w:sz w:val="22"/>
        </w:rPr>
        <w:t> </w:t>
      </w:r>
      <w:r w:rsidRPr="003F6DE8">
        <w:rPr>
          <w:sz w:val="22"/>
        </w:rPr>
        <w:t>060 Kč.</w:t>
      </w:r>
    </w:p>
    <w:p w14:paraId="195A97CC" w14:textId="6D94896D" w:rsidR="003F6DE8" w:rsidRPr="00B76721" w:rsidRDefault="00B76721" w:rsidP="003F6DE8">
      <w:pPr>
        <w:pStyle w:val="Normlnweb"/>
        <w:spacing w:line="276" w:lineRule="auto"/>
        <w:contextualSpacing/>
        <w:jc w:val="both"/>
        <w:rPr>
          <w:b/>
          <w:bCs/>
          <w:sz w:val="22"/>
          <w:u w:val="single"/>
        </w:rPr>
      </w:pPr>
      <w:r w:rsidRPr="00B76721">
        <w:rPr>
          <w:b/>
          <w:bCs/>
          <w:sz w:val="22"/>
          <w:u w:val="single"/>
        </w:rPr>
        <w:t>Doplňující informace</w:t>
      </w:r>
      <w:r w:rsidR="00E40F0D">
        <w:rPr>
          <w:b/>
          <w:bCs/>
          <w:sz w:val="22"/>
          <w:u w:val="single"/>
        </w:rPr>
        <w:t xml:space="preserve"> </w:t>
      </w:r>
    </w:p>
    <w:p w14:paraId="548C170E" w14:textId="2940FF02" w:rsidR="008A09E7" w:rsidRDefault="00B21EC0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sz w:val="22"/>
        </w:rPr>
        <w:t xml:space="preserve">Současný </w:t>
      </w:r>
      <w:r w:rsidR="00E40F0D">
        <w:rPr>
          <w:sz w:val="22"/>
        </w:rPr>
        <w:t>n</w:t>
      </w:r>
      <w:r w:rsidR="0005024A" w:rsidRPr="001A1D8C">
        <w:rPr>
          <w:sz w:val="22"/>
        </w:rPr>
        <w:t>ájemce</w:t>
      </w:r>
      <w:r w:rsidR="00E40F0D">
        <w:rPr>
          <w:sz w:val="22"/>
        </w:rPr>
        <w:t xml:space="preserve"> </w:t>
      </w:r>
      <w:r w:rsidR="00E40F0D" w:rsidRPr="001A1D8C">
        <w:rPr>
          <w:sz w:val="22"/>
        </w:rPr>
        <w:t>CHOBOLA s. r. o</w:t>
      </w:r>
      <w:r w:rsidR="00AE500E">
        <w:rPr>
          <w:sz w:val="22"/>
        </w:rPr>
        <w:t>., který má v pronájmu nebytový prostor</w:t>
      </w:r>
      <w:r w:rsidR="00E40F0D">
        <w:rPr>
          <w:sz w:val="22"/>
        </w:rPr>
        <w:t xml:space="preserve"> v 1. NP </w:t>
      </w:r>
      <w:r>
        <w:rPr>
          <w:sz w:val="22"/>
        </w:rPr>
        <w:t xml:space="preserve">budovy č. p. </w:t>
      </w:r>
      <w:r w:rsidR="000B6337">
        <w:rPr>
          <w:sz w:val="22"/>
        </w:rPr>
        <w:t>624</w:t>
      </w:r>
      <w:r w:rsidR="00AE500E">
        <w:rPr>
          <w:sz w:val="22"/>
        </w:rPr>
        <w:t xml:space="preserve">,  </w:t>
      </w:r>
      <w:r w:rsidR="00E40F0D" w:rsidRPr="001A1D8C">
        <w:rPr>
          <w:sz w:val="22"/>
        </w:rPr>
        <w:t xml:space="preserve">žádal </w:t>
      </w:r>
      <w:r w:rsidR="0005024A" w:rsidRPr="001A1D8C">
        <w:rPr>
          <w:sz w:val="22"/>
        </w:rPr>
        <w:t>v roce 2022 o odkoupení pozemku</w:t>
      </w:r>
      <w:r w:rsidR="008A09E7">
        <w:rPr>
          <w:sz w:val="22"/>
        </w:rPr>
        <w:t> </w:t>
      </w:r>
      <w:r w:rsidR="0005024A" w:rsidRPr="001A1D8C">
        <w:rPr>
          <w:sz w:val="22"/>
        </w:rPr>
        <w:t>p. č. st. 590, jehož součástí je stavba č.p. 624, k. ú. Přívoz</w:t>
      </w:r>
      <w:r w:rsidR="0005024A">
        <w:rPr>
          <w:sz w:val="22"/>
        </w:rPr>
        <w:t>, obec Ostrava.</w:t>
      </w:r>
      <w:r w:rsidR="0005024A" w:rsidRPr="001A1D8C">
        <w:rPr>
          <w:sz w:val="22"/>
        </w:rPr>
        <w:t xml:space="preserve"> Zastupitelstvo městského</w:t>
      </w:r>
      <w:r w:rsidR="008A09E7">
        <w:rPr>
          <w:sz w:val="22"/>
        </w:rPr>
        <w:t> </w:t>
      </w:r>
      <w:r w:rsidR="0005024A" w:rsidRPr="001A1D8C">
        <w:rPr>
          <w:sz w:val="22"/>
        </w:rPr>
        <w:t>obvodu vydalo usnesením č. 0487/ZMOb1822/20/22 ze dne 11. 4. 2022 nesouhlasné</w:t>
      </w:r>
      <w:r w:rsidR="008A09E7">
        <w:rPr>
          <w:sz w:val="22"/>
        </w:rPr>
        <w:t> </w:t>
      </w:r>
      <w:r w:rsidR="0005024A" w:rsidRPr="001A1D8C">
        <w:rPr>
          <w:sz w:val="22"/>
        </w:rPr>
        <w:t>stanovisko</w:t>
      </w:r>
      <w:r w:rsidR="008A09E7">
        <w:rPr>
          <w:sz w:val="22"/>
        </w:rPr>
        <w:t> </w:t>
      </w:r>
      <w:r w:rsidR="0005024A" w:rsidRPr="001A1D8C">
        <w:rPr>
          <w:sz w:val="22"/>
        </w:rPr>
        <w:t>k</w:t>
      </w:r>
      <w:r>
        <w:rPr>
          <w:sz w:val="22"/>
        </w:rPr>
        <w:t> </w:t>
      </w:r>
      <w:r w:rsidR="0005024A" w:rsidRPr="001A1D8C">
        <w:rPr>
          <w:sz w:val="22"/>
        </w:rPr>
        <w:t xml:space="preserve">záměru prodat </w:t>
      </w:r>
      <w:r w:rsidR="0005024A">
        <w:rPr>
          <w:sz w:val="22"/>
        </w:rPr>
        <w:t>pozemek p.č.st. 590 a pozemek p.</w:t>
      </w:r>
      <w:r w:rsidR="00D16487">
        <w:rPr>
          <w:sz w:val="22"/>
        </w:rPr>
        <w:t xml:space="preserve"> </w:t>
      </w:r>
      <w:r w:rsidR="0005024A">
        <w:rPr>
          <w:sz w:val="22"/>
        </w:rPr>
        <w:t>p.</w:t>
      </w:r>
      <w:r w:rsidR="00D16487">
        <w:rPr>
          <w:sz w:val="22"/>
        </w:rPr>
        <w:t xml:space="preserve"> </w:t>
      </w:r>
      <w:r w:rsidR="0005024A">
        <w:rPr>
          <w:sz w:val="22"/>
        </w:rPr>
        <w:t>č. 369/4</w:t>
      </w:r>
      <w:r w:rsidR="0005024A" w:rsidRPr="001A1D8C">
        <w:rPr>
          <w:sz w:val="22"/>
        </w:rPr>
        <w:t>. Zastupitelstvo</w:t>
      </w:r>
      <w:r w:rsidR="008A09E7">
        <w:rPr>
          <w:sz w:val="22"/>
        </w:rPr>
        <w:t> </w:t>
      </w:r>
      <w:r w:rsidR="0005024A" w:rsidRPr="001A1D8C">
        <w:rPr>
          <w:sz w:val="22"/>
        </w:rPr>
        <w:t>města</w:t>
      </w:r>
      <w:r w:rsidR="008A09E7">
        <w:rPr>
          <w:sz w:val="22"/>
        </w:rPr>
        <w:t> </w:t>
      </w:r>
      <w:r w:rsidR="0005024A" w:rsidRPr="001A1D8C">
        <w:rPr>
          <w:sz w:val="22"/>
        </w:rPr>
        <w:t>Ostravy</w:t>
      </w:r>
      <w:r w:rsidR="008A09E7">
        <w:rPr>
          <w:sz w:val="22"/>
        </w:rPr>
        <w:t> </w:t>
      </w:r>
      <w:r w:rsidR="0005024A" w:rsidRPr="001A1D8C">
        <w:rPr>
          <w:sz w:val="22"/>
        </w:rPr>
        <w:t>rozhodlo</w:t>
      </w:r>
      <w:r w:rsidR="008A09E7">
        <w:rPr>
          <w:sz w:val="22"/>
        </w:rPr>
        <w:t> </w:t>
      </w:r>
      <w:r w:rsidR="0005024A" w:rsidRPr="001A1D8C">
        <w:rPr>
          <w:sz w:val="22"/>
        </w:rPr>
        <w:t>usnesením</w:t>
      </w:r>
      <w:r w:rsidR="008A09E7">
        <w:rPr>
          <w:sz w:val="22"/>
        </w:rPr>
        <w:t xml:space="preserve"> č. </w:t>
      </w:r>
      <w:r w:rsidR="008A09E7" w:rsidRPr="001A1D8C">
        <w:rPr>
          <w:sz w:val="22"/>
        </w:rPr>
        <w:t>2095/ZM1822/35</w:t>
      </w:r>
      <w:r w:rsidR="008A09E7">
        <w:rPr>
          <w:sz w:val="22"/>
        </w:rPr>
        <w:t xml:space="preserve"> </w:t>
      </w:r>
      <w:r w:rsidR="0005024A" w:rsidRPr="001A1D8C">
        <w:rPr>
          <w:sz w:val="22"/>
        </w:rPr>
        <w:t>ze dne 22. 6. 2022, v souladu se</w:t>
      </w:r>
      <w:r w:rsidR="008A09E7">
        <w:rPr>
          <w:sz w:val="22"/>
        </w:rPr>
        <w:t> </w:t>
      </w:r>
      <w:r w:rsidR="0005024A" w:rsidRPr="001A1D8C">
        <w:rPr>
          <w:sz w:val="22"/>
        </w:rPr>
        <w:t xml:space="preserve">stanoviskem městského obvodu, že nemá záměr prodat </w:t>
      </w:r>
      <w:r w:rsidR="0005024A">
        <w:rPr>
          <w:sz w:val="22"/>
        </w:rPr>
        <w:t>tyto pozemky</w:t>
      </w:r>
      <w:r w:rsidR="008A09E7">
        <w:rPr>
          <w:sz w:val="22"/>
        </w:rPr>
        <w:t>.</w:t>
      </w:r>
    </w:p>
    <w:p w14:paraId="3EB0AFEC" w14:textId="77777777" w:rsidR="008A09E7" w:rsidRDefault="008A09E7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</w:p>
    <w:p w14:paraId="61B101F3" w14:textId="76232E35" w:rsidR="00761D22" w:rsidRPr="004A74CD" w:rsidRDefault="005F56BB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Stanoviska odborů:</w:t>
      </w:r>
    </w:p>
    <w:p w14:paraId="4EA169C6" w14:textId="48814ADA" w:rsidR="002D6AC6" w:rsidRDefault="00761D22" w:rsidP="004A74C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Odbor územního plánování a stavebního řádu </w:t>
      </w:r>
      <w:r>
        <w:rPr>
          <w:sz w:val="22"/>
          <w:szCs w:val="22"/>
        </w:rPr>
        <w:t xml:space="preserve">Magistrátu města Ostravy </w:t>
      </w:r>
      <w:r w:rsidR="009418FE">
        <w:rPr>
          <w:sz w:val="22"/>
          <w:szCs w:val="22"/>
        </w:rPr>
        <w:t xml:space="preserve">sdělil, že </w:t>
      </w:r>
      <w:r w:rsidR="009418FE" w:rsidRPr="009418FE">
        <w:rPr>
          <w:b/>
          <w:bCs/>
          <w:sz w:val="22"/>
          <w:szCs w:val="22"/>
        </w:rPr>
        <w:t>nemá námitek</w:t>
      </w:r>
      <w:r w:rsidR="009418FE">
        <w:rPr>
          <w:sz w:val="22"/>
          <w:szCs w:val="22"/>
        </w:rPr>
        <w:t xml:space="preserve"> vůči prodeji předmětn</w:t>
      </w:r>
      <w:r w:rsidR="00154BBC">
        <w:rPr>
          <w:sz w:val="22"/>
          <w:szCs w:val="22"/>
        </w:rPr>
        <w:t>ých pozemků</w:t>
      </w:r>
      <w:r w:rsidR="009418FE">
        <w:rPr>
          <w:sz w:val="22"/>
          <w:szCs w:val="22"/>
        </w:rPr>
        <w:t>, neboť daný záměr nemá vliv na koncepce sledované Územním plánem</w:t>
      </w:r>
      <w:r w:rsidR="00154BBC">
        <w:rPr>
          <w:sz w:val="22"/>
          <w:szCs w:val="22"/>
        </w:rPr>
        <w:t xml:space="preserve"> města</w:t>
      </w:r>
      <w:r w:rsidR="009418FE">
        <w:rPr>
          <w:sz w:val="22"/>
          <w:szCs w:val="22"/>
        </w:rPr>
        <w:t xml:space="preserve"> Ostravy.</w:t>
      </w:r>
    </w:p>
    <w:p w14:paraId="3825983F" w14:textId="77777777" w:rsidR="004A74CD" w:rsidRDefault="004A74CD" w:rsidP="004A74C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7CEEEE49" w14:textId="3BD5F885" w:rsidR="004A74CD" w:rsidRDefault="004A74CD" w:rsidP="004A74C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Odbor strategického rozvoje, odbor hospodářské správy a odbor dopravy </w:t>
      </w:r>
      <w:r>
        <w:rPr>
          <w:sz w:val="22"/>
          <w:szCs w:val="22"/>
        </w:rPr>
        <w:t>sdělily, že nemají námitek vůči prodeji pozemků p. p. č. 369/4 a p. č. st. 590 v k. ú. Přívoz</w:t>
      </w:r>
      <w:r w:rsidR="001D4BF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5718617" w14:textId="77777777" w:rsidR="004A74CD" w:rsidRDefault="004A74CD" w:rsidP="004A74C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64D7CCB7" w14:textId="0E1DE43D" w:rsidR="004A74CD" w:rsidRDefault="004A74CD" w:rsidP="004A74C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 w:rsidRPr="00BC28ED">
        <w:rPr>
          <w:b/>
          <w:bCs/>
          <w:sz w:val="22"/>
          <w:szCs w:val="22"/>
        </w:rPr>
        <w:t>Odbor investiční</w:t>
      </w:r>
      <w:r>
        <w:rPr>
          <w:sz w:val="22"/>
          <w:szCs w:val="22"/>
        </w:rPr>
        <w:t xml:space="preserve"> sdělil, že nemá námitek k prodeji předmětných pozemků Žadateli</w:t>
      </w:r>
    </w:p>
    <w:p w14:paraId="72E71C97" w14:textId="77777777" w:rsidR="004A74CD" w:rsidRDefault="004A74CD" w:rsidP="004A74CD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2253DA54" w14:textId="6651799D" w:rsidR="004A74CD" w:rsidRDefault="004A74CD" w:rsidP="004A74CD">
      <w:pPr>
        <w:pStyle w:val="Normlnweb"/>
        <w:spacing w:line="276" w:lineRule="auto"/>
        <w:contextualSpacing/>
        <w:jc w:val="both"/>
        <w:rPr>
          <w:i/>
          <w:iCs/>
          <w:sz w:val="22"/>
          <w:szCs w:val="22"/>
        </w:rPr>
      </w:pPr>
      <w:r w:rsidRPr="00BC28ED">
        <w:rPr>
          <w:b/>
          <w:bCs/>
          <w:sz w:val="22"/>
          <w:szCs w:val="22"/>
        </w:rPr>
        <w:t>Odbor ochrany životního prostředí</w:t>
      </w:r>
      <w:r>
        <w:rPr>
          <w:sz w:val="22"/>
          <w:szCs w:val="22"/>
        </w:rPr>
        <w:t xml:space="preserve"> sdělil, že vydává celkově kladné stanovisko k prodeji předmětných pozemků</w:t>
      </w:r>
      <w:r w:rsidR="00BC28ED">
        <w:rPr>
          <w:sz w:val="22"/>
          <w:szCs w:val="22"/>
        </w:rPr>
        <w:t>, nicméně vydává upozornění, ve kterém sděluje, že pozemek 369/4</w:t>
      </w:r>
      <w:r w:rsidR="00D16487">
        <w:rPr>
          <w:sz w:val="22"/>
          <w:szCs w:val="22"/>
        </w:rPr>
        <w:t> </w:t>
      </w:r>
      <w:r w:rsidR="00BC28ED">
        <w:rPr>
          <w:sz w:val="22"/>
          <w:szCs w:val="22"/>
        </w:rPr>
        <w:t>v k.</w:t>
      </w:r>
      <w:r w:rsidR="00D16487">
        <w:rPr>
          <w:sz w:val="22"/>
          <w:szCs w:val="22"/>
        </w:rPr>
        <w:t> </w:t>
      </w:r>
      <w:r w:rsidR="00BC28ED">
        <w:rPr>
          <w:sz w:val="22"/>
          <w:szCs w:val="22"/>
        </w:rPr>
        <w:t>ú.</w:t>
      </w:r>
      <w:r w:rsidR="00D16487">
        <w:rPr>
          <w:sz w:val="22"/>
          <w:szCs w:val="22"/>
        </w:rPr>
        <w:t> </w:t>
      </w:r>
      <w:r w:rsidR="00BC28ED">
        <w:rPr>
          <w:sz w:val="22"/>
          <w:szCs w:val="22"/>
        </w:rPr>
        <w:t>Přívoz</w:t>
      </w:r>
      <w:r w:rsidR="001D4BFD">
        <w:rPr>
          <w:sz w:val="22"/>
          <w:szCs w:val="22"/>
        </w:rPr>
        <w:t>, obec Ostrava</w:t>
      </w:r>
      <w:r w:rsidR="00BC28ED">
        <w:rPr>
          <w:sz w:val="22"/>
          <w:szCs w:val="22"/>
        </w:rPr>
        <w:t xml:space="preserve"> je součástí zemědělského půdního fondu a jako takový je pod</w:t>
      </w:r>
      <w:r w:rsidR="00D16487">
        <w:rPr>
          <w:sz w:val="22"/>
          <w:szCs w:val="22"/>
        </w:rPr>
        <w:t> </w:t>
      </w:r>
      <w:r w:rsidR="00BC28ED">
        <w:rPr>
          <w:sz w:val="22"/>
          <w:szCs w:val="22"/>
        </w:rPr>
        <w:t>ochranou dle zákona č. 334/1992 Sb., o</w:t>
      </w:r>
      <w:r w:rsidR="00F52667">
        <w:rPr>
          <w:sz w:val="22"/>
          <w:szCs w:val="22"/>
        </w:rPr>
        <w:t> </w:t>
      </w:r>
      <w:r w:rsidR="00BC28ED">
        <w:rPr>
          <w:sz w:val="22"/>
          <w:szCs w:val="22"/>
        </w:rPr>
        <w:t xml:space="preserve">ochraně zemědělského půdního fondu, ve znění pozdějších předpisů a jeho případné </w:t>
      </w:r>
      <w:r w:rsidR="00BC28ED" w:rsidRPr="00DB367E">
        <w:rPr>
          <w:b/>
          <w:bCs/>
          <w:sz w:val="22"/>
          <w:szCs w:val="22"/>
        </w:rPr>
        <w:t>nezemědělské využití je možné jen se souhlasem orgánu ochrany zemědělského půdního fondu</w:t>
      </w:r>
      <w:r w:rsidR="00BC28ED">
        <w:rPr>
          <w:sz w:val="22"/>
          <w:szCs w:val="22"/>
        </w:rPr>
        <w:t xml:space="preserve">. Zároveň odbor ochrany životního prostředí sdělil, že: </w:t>
      </w:r>
      <w:r w:rsidR="00BC28ED" w:rsidRPr="00BC28ED">
        <w:rPr>
          <w:i/>
          <w:iCs/>
          <w:sz w:val="22"/>
          <w:szCs w:val="22"/>
        </w:rPr>
        <w:t>„</w:t>
      </w:r>
      <w:r w:rsidR="00BC28ED" w:rsidRPr="00BC28ED">
        <w:rPr>
          <w:i/>
          <w:iCs/>
          <w:sz w:val="22"/>
        </w:rPr>
        <w:t>Dle informací ve vaší žádosti byla na pozemku parc. č. 369/4 v</w:t>
      </w:r>
      <w:r w:rsidR="00F52667">
        <w:rPr>
          <w:i/>
          <w:iCs/>
          <w:sz w:val="22"/>
        </w:rPr>
        <w:t> </w:t>
      </w:r>
      <w:r w:rsidR="00BC28ED" w:rsidRPr="00BC28ED">
        <w:rPr>
          <w:i/>
          <w:iCs/>
          <w:sz w:val="22"/>
        </w:rPr>
        <w:t>k. ú. Přívoz v roce 2022 realizována náhradní výsadba uložená za pokácení dřevin dle ust. § 9 odst. 1 zákona č. 114/1992 Sb., o ochraně přírody a krajiny, ve</w:t>
      </w:r>
      <w:r w:rsidR="00D16487">
        <w:rPr>
          <w:i/>
          <w:iCs/>
          <w:sz w:val="22"/>
        </w:rPr>
        <w:t> </w:t>
      </w:r>
      <w:r w:rsidR="00BC28ED" w:rsidRPr="00BC28ED">
        <w:rPr>
          <w:i/>
          <w:iCs/>
          <w:sz w:val="22"/>
        </w:rPr>
        <w:t xml:space="preserve">znění pozdějších předpisů. </w:t>
      </w:r>
      <w:r w:rsidR="00BC28ED" w:rsidRPr="00DB367E">
        <w:rPr>
          <w:b/>
          <w:bCs/>
          <w:i/>
          <w:iCs/>
          <w:sz w:val="22"/>
        </w:rPr>
        <w:t xml:space="preserve">Požadujeme, aby byl nový nabyvatel uvedeného pozemku upozorněn, </w:t>
      </w:r>
      <w:r w:rsidR="00BC28ED" w:rsidRPr="00BC28ED">
        <w:rPr>
          <w:i/>
          <w:iCs/>
          <w:sz w:val="22"/>
        </w:rPr>
        <w:t>že</w:t>
      </w:r>
      <w:r w:rsidR="00D16487">
        <w:rPr>
          <w:i/>
          <w:iCs/>
          <w:sz w:val="22"/>
        </w:rPr>
        <w:t> </w:t>
      </w:r>
      <w:r w:rsidR="00BC28ED" w:rsidRPr="00BC28ED">
        <w:rPr>
          <w:i/>
          <w:iCs/>
          <w:sz w:val="22"/>
        </w:rPr>
        <w:t>ke kácení těchto stromů je nutné dle ust. § 3 vyhlášky č. 189/2013 Sb., o ochraně dřevin a povolování jejich kácení, ve znění pozdějších předpisů, povolení, i</w:t>
      </w:r>
      <w:r w:rsidR="00F52667">
        <w:rPr>
          <w:i/>
          <w:iCs/>
          <w:sz w:val="22"/>
        </w:rPr>
        <w:t> </w:t>
      </w:r>
      <w:r w:rsidR="00BC28ED" w:rsidRPr="00BC28ED">
        <w:rPr>
          <w:i/>
          <w:iCs/>
          <w:sz w:val="22"/>
        </w:rPr>
        <w:t xml:space="preserve">když stromy ve výčetní výšce 130 cm nad zemí nedosahují </w:t>
      </w:r>
      <w:r w:rsidR="00BC28ED" w:rsidRPr="00BC28ED">
        <w:rPr>
          <w:i/>
          <w:iCs/>
          <w:sz w:val="22"/>
          <w:szCs w:val="22"/>
        </w:rPr>
        <w:t>obvodů kmenů 80 cm.“</w:t>
      </w:r>
    </w:p>
    <w:p w14:paraId="2FA7ABB9" w14:textId="77777777" w:rsidR="001D4BFD" w:rsidRDefault="001D4BFD" w:rsidP="004A74CD">
      <w:pPr>
        <w:pStyle w:val="Normlnweb"/>
        <w:spacing w:line="276" w:lineRule="auto"/>
        <w:contextualSpacing/>
        <w:jc w:val="both"/>
        <w:rPr>
          <w:i/>
          <w:iCs/>
          <w:sz w:val="22"/>
          <w:szCs w:val="22"/>
        </w:rPr>
      </w:pPr>
    </w:p>
    <w:p w14:paraId="4734AB86" w14:textId="65068013" w:rsidR="001D4BFD" w:rsidRPr="00BC28ED" w:rsidRDefault="001D4BFD" w:rsidP="004A74CD">
      <w:pPr>
        <w:pStyle w:val="Normlnweb"/>
        <w:spacing w:line="276" w:lineRule="auto"/>
        <w:contextualSpacing/>
        <w:jc w:val="both"/>
        <w:rPr>
          <w:sz w:val="22"/>
        </w:rPr>
      </w:pPr>
      <w:r>
        <w:rPr>
          <w:i/>
          <w:iCs/>
          <w:sz w:val="22"/>
          <w:szCs w:val="22"/>
        </w:rPr>
        <w:t>Na toto stanovisko bude městský obvod písemně upozorněn.</w:t>
      </w:r>
    </w:p>
    <w:p w14:paraId="6C7FA3CB" w14:textId="7B217C10" w:rsidR="0005602E" w:rsidRDefault="00761D22" w:rsidP="00761D22">
      <w:pPr>
        <w:spacing w:line="276" w:lineRule="auto"/>
        <w:rPr>
          <w:sz w:val="22"/>
        </w:rPr>
      </w:pPr>
      <w:r>
        <w:rPr>
          <w:b/>
          <w:bCs/>
          <w:sz w:val="22"/>
          <w:u w:val="single"/>
        </w:rPr>
        <w:t>Příslušnost rozhodování:</w:t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 w:rsidRPr="00761D22"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        </w:t>
      </w:r>
      <w:r>
        <w:rPr>
          <w:sz w:val="22"/>
        </w:rPr>
        <w:t xml:space="preserve">V případě, že </w:t>
      </w:r>
      <w:r w:rsidRPr="00367377">
        <w:rPr>
          <w:sz w:val="22"/>
        </w:rPr>
        <w:t xml:space="preserve">zastupitelstvo města </w:t>
      </w:r>
      <w:r>
        <w:rPr>
          <w:sz w:val="22"/>
        </w:rPr>
        <w:t>rozhodne o záměru prodeje,</w:t>
      </w:r>
      <w:r w:rsidRPr="00781163">
        <w:t xml:space="preserve"> </w:t>
      </w:r>
      <w:r w:rsidRPr="00781163">
        <w:rPr>
          <w:sz w:val="22"/>
        </w:rPr>
        <w:t>dle bodu 1) předloženého usnesení</w:t>
      </w:r>
      <w:r>
        <w:rPr>
          <w:sz w:val="22"/>
        </w:rPr>
        <w:t xml:space="preserve"> bude dle článku 7 odst.  3) písm. b) Obecně závazné vyhlášky č. 10/2022, Statut města Ostravy, ve znění pozdějších změn a doplňků rozhodovat o prodeji zastupitelstvo městského obvodu Moravská Ostrava a</w:t>
      </w:r>
      <w:r w:rsidR="00DC7C44">
        <w:rPr>
          <w:sz w:val="22"/>
        </w:rPr>
        <w:t> </w:t>
      </w:r>
      <w:r>
        <w:rPr>
          <w:sz w:val="22"/>
        </w:rPr>
        <w:t>Přívoz.</w:t>
      </w:r>
    </w:p>
    <w:p w14:paraId="2C95786D" w14:textId="77777777" w:rsidR="00861089" w:rsidRDefault="00861089" w:rsidP="00861089">
      <w:pPr>
        <w:spacing w:after="0" w:line="276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Projednáno v komisi pro majetek a hospodářskou správu rady města Ostravy</w:t>
      </w:r>
    </w:p>
    <w:p w14:paraId="3DD8432A" w14:textId="27F6AE15" w:rsidR="00861089" w:rsidRDefault="00861089" w:rsidP="00761D22">
      <w:pPr>
        <w:spacing w:line="276" w:lineRule="auto"/>
        <w:rPr>
          <w:sz w:val="22"/>
        </w:rPr>
      </w:pPr>
      <w:r>
        <w:rPr>
          <w:sz w:val="22"/>
        </w:rPr>
        <w:t>Komise pro majetek a hospodářskou správu rady města Ostravy projednala záměr prodeje předmětných pozemků popsaný v tomto materiálu a vyslovila svůj souhlas s tímto záměrem, a to na svém zasedání dne 27. 04. 2026.</w:t>
      </w:r>
    </w:p>
    <w:p w14:paraId="404222FA" w14:textId="77777777" w:rsidR="00B52E69" w:rsidRDefault="00B52E69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</w:p>
    <w:p w14:paraId="16546999" w14:textId="77777777" w:rsidR="00B52E69" w:rsidRDefault="00B52E69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</w:p>
    <w:p w14:paraId="1B93B6E8" w14:textId="444496A7" w:rsidR="0056563C" w:rsidRDefault="001D1152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Projednáno v radě města</w:t>
      </w:r>
      <w:r w:rsidR="0056563C">
        <w:rPr>
          <w:b/>
          <w:bCs/>
          <w:sz w:val="22"/>
          <w:szCs w:val="22"/>
          <w:u w:val="single"/>
        </w:rPr>
        <w:t>:</w:t>
      </w:r>
    </w:p>
    <w:p w14:paraId="7D5B7C3B" w14:textId="47067DCB" w:rsidR="00C801E7" w:rsidRDefault="001D1152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města dne 28. 04. 2026 svým usnesením č. </w:t>
      </w:r>
      <w:r w:rsidR="00ED372B">
        <w:rPr>
          <w:sz w:val="22"/>
          <w:szCs w:val="22"/>
        </w:rPr>
        <w:t>09787/RM2226/135</w:t>
      </w:r>
      <w:r>
        <w:rPr>
          <w:sz w:val="22"/>
          <w:szCs w:val="22"/>
        </w:rPr>
        <w:t xml:space="preserve"> souhlasila s návrhem na záměr města prodat pozemky dle bodu 1) návrhu tohoto usnesení.</w:t>
      </w:r>
    </w:p>
    <w:p w14:paraId="0846A6FB" w14:textId="77777777" w:rsidR="001D1152" w:rsidRDefault="001D1152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</w:p>
    <w:p w14:paraId="77E31916" w14:textId="3A44B386" w:rsidR="001D1152" w:rsidRDefault="001D1152" w:rsidP="001D476B">
      <w:pPr>
        <w:pStyle w:val="Normlnweb"/>
        <w:spacing w:line="276" w:lineRule="auto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Upozornění:</w:t>
      </w:r>
    </w:p>
    <w:p w14:paraId="5D0D11CD" w14:textId="674F6D9F" w:rsidR="001D1152" w:rsidRPr="001D1152" w:rsidRDefault="001D1152" w:rsidP="001D476B">
      <w:pPr>
        <w:pStyle w:val="Normlnweb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Tento materiál obsahuje informace podléhající ochraně osobních údajů, které by neměly být zveřejňovány dle. zák. č. 106/1999 Sb., o svobodném přístupu k informacím, ve znění pozdějších předpisů, jelikož jsou chráněny zák. č. 110/2019 Sb., o ochraně osobních údajů a o změně některých zákonů, ve znění pozdějších předpisů.</w:t>
      </w:r>
    </w:p>
    <w:sectPr w:rsidR="001D1152" w:rsidRPr="001D11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1DF4" w14:textId="77777777" w:rsidR="00F3309E" w:rsidRDefault="00F3309E" w:rsidP="001D4BFD">
      <w:pPr>
        <w:spacing w:after="0"/>
      </w:pPr>
      <w:r>
        <w:separator/>
      </w:r>
    </w:p>
  </w:endnote>
  <w:endnote w:type="continuationSeparator" w:id="0">
    <w:p w14:paraId="4A3FD32F" w14:textId="77777777" w:rsidR="00F3309E" w:rsidRDefault="00F3309E" w:rsidP="001D4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522448"/>
      <w:docPartObj>
        <w:docPartGallery w:val="Page Numbers (Bottom of Page)"/>
        <w:docPartUnique/>
      </w:docPartObj>
    </w:sdtPr>
    <w:sdtEndPr/>
    <w:sdtContent>
      <w:p w14:paraId="63B95709" w14:textId="366734AA" w:rsidR="001D4BFD" w:rsidRDefault="001D4B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155A9" w14:textId="77777777" w:rsidR="001D4BFD" w:rsidRDefault="001D4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8D57" w14:textId="77777777" w:rsidR="00F3309E" w:rsidRDefault="00F3309E" w:rsidP="001D4BFD">
      <w:pPr>
        <w:spacing w:after="0"/>
      </w:pPr>
      <w:r>
        <w:separator/>
      </w:r>
    </w:p>
  </w:footnote>
  <w:footnote w:type="continuationSeparator" w:id="0">
    <w:p w14:paraId="68A7E7A1" w14:textId="77777777" w:rsidR="00F3309E" w:rsidRDefault="00F3309E" w:rsidP="001D4B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3A2"/>
    <w:multiLevelType w:val="hybridMultilevel"/>
    <w:tmpl w:val="8ED87BBC"/>
    <w:lvl w:ilvl="0" w:tplc="0CA20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2E53"/>
    <w:multiLevelType w:val="hybridMultilevel"/>
    <w:tmpl w:val="DB54A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27A"/>
    <w:multiLevelType w:val="hybridMultilevel"/>
    <w:tmpl w:val="D104248C"/>
    <w:lvl w:ilvl="0" w:tplc="82DE1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33320"/>
    <w:multiLevelType w:val="hybridMultilevel"/>
    <w:tmpl w:val="0E264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406301">
    <w:abstractNumId w:val="0"/>
  </w:num>
  <w:num w:numId="2" w16cid:durableId="558635979">
    <w:abstractNumId w:val="2"/>
  </w:num>
  <w:num w:numId="3" w16cid:durableId="580139769">
    <w:abstractNumId w:val="1"/>
  </w:num>
  <w:num w:numId="4" w16cid:durableId="60878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E4"/>
    <w:rsid w:val="000109D2"/>
    <w:rsid w:val="00010E8D"/>
    <w:rsid w:val="00033FAE"/>
    <w:rsid w:val="00041053"/>
    <w:rsid w:val="0005024A"/>
    <w:rsid w:val="0005026C"/>
    <w:rsid w:val="0005602E"/>
    <w:rsid w:val="000717F0"/>
    <w:rsid w:val="00091F73"/>
    <w:rsid w:val="000B6337"/>
    <w:rsid w:val="000B7DAB"/>
    <w:rsid w:val="000D0966"/>
    <w:rsid w:val="000E180D"/>
    <w:rsid w:val="00124BF7"/>
    <w:rsid w:val="001374CE"/>
    <w:rsid w:val="00154BBC"/>
    <w:rsid w:val="00176CF6"/>
    <w:rsid w:val="00190C00"/>
    <w:rsid w:val="00196BFD"/>
    <w:rsid w:val="001A1D8C"/>
    <w:rsid w:val="001A1DDE"/>
    <w:rsid w:val="001A4F05"/>
    <w:rsid w:val="001D1152"/>
    <w:rsid w:val="001D476B"/>
    <w:rsid w:val="001D4BFD"/>
    <w:rsid w:val="001D7B18"/>
    <w:rsid w:val="001E37FD"/>
    <w:rsid w:val="002051FD"/>
    <w:rsid w:val="00205971"/>
    <w:rsid w:val="002129F8"/>
    <w:rsid w:val="00217BF4"/>
    <w:rsid w:val="00221E53"/>
    <w:rsid w:val="00240AD3"/>
    <w:rsid w:val="00263D29"/>
    <w:rsid w:val="00286940"/>
    <w:rsid w:val="00294511"/>
    <w:rsid w:val="002A3ACE"/>
    <w:rsid w:val="002D26AC"/>
    <w:rsid w:val="002D3386"/>
    <w:rsid w:val="002D6AC6"/>
    <w:rsid w:val="002E2B9C"/>
    <w:rsid w:val="002F3730"/>
    <w:rsid w:val="00316A07"/>
    <w:rsid w:val="00320D9F"/>
    <w:rsid w:val="00392048"/>
    <w:rsid w:val="00396470"/>
    <w:rsid w:val="003A2DB1"/>
    <w:rsid w:val="003A4008"/>
    <w:rsid w:val="003F6DE8"/>
    <w:rsid w:val="004153E5"/>
    <w:rsid w:val="0043222C"/>
    <w:rsid w:val="00453E71"/>
    <w:rsid w:val="00461350"/>
    <w:rsid w:val="00472777"/>
    <w:rsid w:val="00473175"/>
    <w:rsid w:val="00480E51"/>
    <w:rsid w:val="0049233B"/>
    <w:rsid w:val="0049402B"/>
    <w:rsid w:val="004944B3"/>
    <w:rsid w:val="004A0C40"/>
    <w:rsid w:val="004A0E56"/>
    <w:rsid w:val="004A74CD"/>
    <w:rsid w:val="004C6371"/>
    <w:rsid w:val="004D7FC4"/>
    <w:rsid w:val="004E15A9"/>
    <w:rsid w:val="004E630A"/>
    <w:rsid w:val="00521DF6"/>
    <w:rsid w:val="005226FF"/>
    <w:rsid w:val="00533C1B"/>
    <w:rsid w:val="005570A2"/>
    <w:rsid w:val="0056563C"/>
    <w:rsid w:val="005B3706"/>
    <w:rsid w:val="005B42D8"/>
    <w:rsid w:val="005F56BB"/>
    <w:rsid w:val="0060454F"/>
    <w:rsid w:val="00612D2D"/>
    <w:rsid w:val="00614CEE"/>
    <w:rsid w:val="00624032"/>
    <w:rsid w:val="00646469"/>
    <w:rsid w:val="00650977"/>
    <w:rsid w:val="006735EE"/>
    <w:rsid w:val="006813A7"/>
    <w:rsid w:val="006A1F4B"/>
    <w:rsid w:val="006D074C"/>
    <w:rsid w:val="00727260"/>
    <w:rsid w:val="00761D22"/>
    <w:rsid w:val="00764BAC"/>
    <w:rsid w:val="00766224"/>
    <w:rsid w:val="00781C4F"/>
    <w:rsid w:val="0079004A"/>
    <w:rsid w:val="007932A9"/>
    <w:rsid w:val="0079446C"/>
    <w:rsid w:val="007959E0"/>
    <w:rsid w:val="007A41E2"/>
    <w:rsid w:val="007B64E4"/>
    <w:rsid w:val="007E7D80"/>
    <w:rsid w:val="00830728"/>
    <w:rsid w:val="008404C9"/>
    <w:rsid w:val="00852421"/>
    <w:rsid w:val="00861089"/>
    <w:rsid w:val="00862AEF"/>
    <w:rsid w:val="008634A6"/>
    <w:rsid w:val="008A09E7"/>
    <w:rsid w:val="008A27DD"/>
    <w:rsid w:val="008D19D8"/>
    <w:rsid w:val="008D32E8"/>
    <w:rsid w:val="008E7ED8"/>
    <w:rsid w:val="008F6649"/>
    <w:rsid w:val="00902340"/>
    <w:rsid w:val="00921E7D"/>
    <w:rsid w:val="00922382"/>
    <w:rsid w:val="009356F1"/>
    <w:rsid w:val="009418FE"/>
    <w:rsid w:val="00943DA4"/>
    <w:rsid w:val="00961FF0"/>
    <w:rsid w:val="00963BCA"/>
    <w:rsid w:val="009831C7"/>
    <w:rsid w:val="009917B1"/>
    <w:rsid w:val="009C0EC6"/>
    <w:rsid w:val="009C4362"/>
    <w:rsid w:val="009C65C9"/>
    <w:rsid w:val="009E15A6"/>
    <w:rsid w:val="009F04FD"/>
    <w:rsid w:val="009F1141"/>
    <w:rsid w:val="00A3105D"/>
    <w:rsid w:val="00A32900"/>
    <w:rsid w:val="00A46007"/>
    <w:rsid w:val="00A55356"/>
    <w:rsid w:val="00A6185C"/>
    <w:rsid w:val="00A714C9"/>
    <w:rsid w:val="00A97AB4"/>
    <w:rsid w:val="00AB4159"/>
    <w:rsid w:val="00AB5AE7"/>
    <w:rsid w:val="00AC0613"/>
    <w:rsid w:val="00AC1427"/>
    <w:rsid w:val="00AD4C3E"/>
    <w:rsid w:val="00AD5241"/>
    <w:rsid w:val="00AE27BE"/>
    <w:rsid w:val="00AE500E"/>
    <w:rsid w:val="00AE5BA5"/>
    <w:rsid w:val="00AF4543"/>
    <w:rsid w:val="00B10357"/>
    <w:rsid w:val="00B13A1E"/>
    <w:rsid w:val="00B14822"/>
    <w:rsid w:val="00B21EC0"/>
    <w:rsid w:val="00B26603"/>
    <w:rsid w:val="00B44D82"/>
    <w:rsid w:val="00B52E69"/>
    <w:rsid w:val="00B54350"/>
    <w:rsid w:val="00B55575"/>
    <w:rsid w:val="00B5671B"/>
    <w:rsid w:val="00B76721"/>
    <w:rsid w:val="00B934A0"/>
    <w:rsid w:val="00BC006D"/>
    <w:rsid w:val="00BC28ED"/>
    <w:rsid w:val="00BD34BF"/>
    <w:rsid w:val="00BD7A0D"/>
    <w:rsid w:val="00BE28B9"/>
    <w:rsid w:val="00BF370B"/>
    <w:rsid w:val="00C138D3"/>
    <w:rsid w:val="00C60E8C"/>
    <w:rsid w:val="00C612A8"/>
    <w:rsid w:val="00C801E7"/>
    <w:rsid w:val="00CD0492"/>
    <w:rsid w:val="00CE2F55"/>
    <w:rsid w:val="00CE5129"/>
    <w:rsid w:val="00CF26F5"/>
    <w:rsid w:val="00D03C45"/>
    <w:rsid w:val="00D04358"/>
    <w:rsid w:val="00D16487"/>
    <w:rsid w:val="00D269AE"/>
    <w:rsid w:val="00D55015"/>
    <w:rsid w:val="00D65B5E"/>
    <w:rsid w:val="00D67B5E"/>
    <w:rsid w:val="00D72C4B"/>
    <w:rsid w:val="00D77D81"/>
    <w:rsid w:val="00D811EB"/>
    <w:rsid w:val="00D831A5"/>
    <w:rsid w:val="00DB367E"/>
    <w:rsid w:val="00DC1E3C"/>
    <w:rsid w:val="00DC67BD"/>
    <w:rsid w:val="00DC7C44"/>
    <w:rsid w:val="00DD0ABC"/>
    <w:rsid w:val="00DD7F69"/>
    <w:rsid w:val="00E023F7"/>
    <w:rsid w:val="00E060D5"/>
    <w:rsid w:val="00E174A2"/>
    <w:rsid w:val="00E263F2"/>
    <w:rsid w:val="00E36F70"/>
    <w:rsid w:val="00E40F0D"/>
    <w:rsid w:val="00E452E5"/>
    <w:rsid w:val="00E54584"/>
    <w:rsid w:val="00E7316B"/>
    <w:rsid w:val="00E8151B"/>
    <w:rsid w:val="00E90BDF"/>
    <w:rsid w:val="00ED15FC"/>
    <w:rsid w:val="00ED372B"/>
    <w:rsid w:val="00ED3AF7"/>
    <w:rsid w:val="00ED46DB"/>
    <w:rsid w:val="00EF0986"/>
    <w:rsid w:val="00EF0DD8"/>
    <w:rsid w:val="00EF5228"/>
    <w:rsid w:val="00F01A44"/>
    <w:rsid w:val="00F02426"/>
    <w:rsid w:val="00F05F5E"/>
    <w:rsid w:val="00F25EFA"/>
    <w:rsid w:val="00F30EC0"/>
    <w:rsid w:val="00F3309E"/>
    <w:rsid w:val="00F348F2"/>
    <w:rsid w:val="00F52667"/>
    <w:rsid w:val="00F774E9"/>
    <w:rsid w:val="00FA0A93"/>
    <w:rsid w:val="00FA63D0"/>
    <w:rsid w:val="00FD3D14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BACC"/>
  <w15:chartTrackingRefBased/>
  <w15:docId w15:val="{2A36A4CE-79ED-4E2E-A434-36CB161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F7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6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4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4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4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4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4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4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4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4E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4E4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4E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4E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4E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4E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7B6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4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6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64E4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7B64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64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4E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7B64E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rsid w:val="00F348F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mmoradkovani">
    <w:name w:val="_mmo_radkovani"/>
    <w:basedOn w:val="Normln"/>
    <w:rsid w:val="00041053"/>
    <w:pPr>
      <w:spacing w:after="0" w:line="360" w:lineRule="auto"/>
      <w:jc w:val="left"/>
    </w:pPr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B1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4BF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BF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D4BF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D4BFD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94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45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451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51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2235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Plešek Filip</dc:creator>
  <cp:keywords/>
  <dc:description/>
  <cp:lastModifiedBy>Plešek Filip</cp:lastModifiedBy>
  <cp:revision>7</cp:revision>
  <cp:lastPrinted>2025-03-05T08:25:00Z</cp:lastPrinted>
  <dcterms:created xsi:type="dcterms:W3CDTF">2026-04-28T09:00:00Z</dcterms:created>
  <dcterms:modified xsi:type="dcterms:W3CDTF">2026-04-28T12:38:00Z</dcterms:modified>
</cp:coreProperties>
</file>