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4F4DA" w14:textId="77777777" w:rsidR="00C373CC" w:rsidRPr="007C73EC" w:rsidRDefault="00C373CC" w:rsidP="00C008C8">
      <w:pPr>
        <w:pBdr>
          <w:bottom w:val="single" w:sz="6" w:space="1" w:color="auto"/>
        </w:pBdr>
        <w:spacing w:after="0"/>
        <w:jc w:val="both"/>
        <w:rPr>
          <w:rFonts w:ascii="Aptos" w:hAnsi="Aptos" w:cstheme="minorHAnsi"/>
          <w:b/>
          <w:bCs/>
        </w:rPr>
      </w:pPr>
      <w:r w:rsidRPr="007C73EC">
        <w:rPr>
          <w:rFonts w:ascii="Aptos" w:hAnsi="Aptos" w:cstheme="minorHAnsi"/>
          <w:b/>
          <w:bCs/>
        </w:rPr>
        <w:t>Důvodová zpráva</w:t>
      </w:r>
    </w:p>
    <w:p w14:paraId="05BED7FD" w14:textId="77777777" w:rsidR="007E19F3" w:rsidRPr="007C73EC" w:rsidRDefault="007E19F3" w:rsidP="007E19F3">
      <w:pPr>
        <w:pBdr>
          <w:bottom w:val="single" w:sz="6" w:space="1" w:color="auto"/>
        </w:pBdr>
        <w:spacing w:after="0" w:line="240" w:lineRule="auto"/>
        <w:jc w:val="both"/>
        <w:rPr>
          <w:rFonts w:ascii="Aptos" w:hAnsi="Aptos" w:cstheme="minorHAnsi"/>
        </w:rPr>
      </w:pPr>
      <w:r w:rsidRPr="007C73EC">
        <w:rPr>
          <w:rFonts w:ascii="Aptos" w:hAnsi="Aptos" w:cstheme="minorHAnsi"/>
        </w:rPr>
        <w:t>Úvodem:</w:t>
      </w:r>
    </w:p>
    <w:p w14:paraId="09002F0B" w14:textId="2029784B" w:rsidR="007E19F3" w:rsidRDefault="007228DA" w:rsidP="006A2538">
      <w:pPr>
        <w:pStyle w:val="Odstavecseseznamem"/>
        <w:numPr>
          <w:ilvl w:val="0"/>
          <w:numId w:val="23"/>
        </w:numPr>
        <w:pBdr>
          <w:bottom w:val="single" w:sz="6" w:space="1" w:color="auto"/>
        </w:pBdr>
        <w:spacing w:after="0" w:line="240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Zastupitelstvu</w:t>
      </w:r>
      <w:r w:rsidR="00875A53" w:rsidRPr="007C73EC">
        <w:rPr>
          <w:rFonts w:ascii="Aptos" w:hAnsi="Aptos" w:cstheme="minorHAnsi"/>
        </w:rPr>
        <w:t xml:space="preserve"> města je předkládána změna Programového rámce IROP (dále jen PR</w:t>
      </w:r>
      <w:r w:rsidR="00476759">
        <w:rPr>
          <w:rFonts w:ascii="Aptos" w:hAnsi="Aptos" w:cstheme="minorHAnsi"/>
        </w:rPr>
        <w:t xml:space="preserve"> IROP</w:t>
      </w:r>
      <w:r w:rsidR="00875A53" w:rsidRPr="007C73EC">
        <w:rPr>
          <w:rFonts w:ascii="Aptos" w:hAnsi="Aptos" w:cstheme="minorHAnsi"/>
        </w:rPr>
        <w:t xml:space="preserve">), který je součástí </w:t>
      </w:r>
      <w:r w:rsidR="00875A53" w:rsidRPr="007C73EC">
        <w:rPr>
          <w:rFonts w:ascii="Aptos" w:hAnsi="Aptos" w:cstheme="minorHAnsi"/>
          <w:b/>
          <w:bCs/>
        </w:rPr>
        <w:t xml:space="preserve">Akčního plánu Integrované územní </w:t>
      </w:r>
      <w:r w:rsidR="009A6E55" w:rsidRPr="007C73EC">
        <w:rPr>
          <w:rFonts w:ascii="Aptos" w:hAnsi="Aptos" w:cstheme="minorHAnsi"/>
          <w:b/>
          <w:bCs/>
        </w:rPr>
        <w:t>s</w:t>
      </w:r>
      <w:r w:rsidR="00875A53" w:rsidRPr="007C73EC">
        <w:rPr>
          <w:rFonts w:ascii="Aptos" w:hAnsi="Aptos" w:cstheme="minorHAnsi"/>
          <w:b/>
          <w:bCs/>
        </w:rPr>
        <w:t>trategie Ostravské metropolitní oblasti 2021-2027</w:t>
      </w:r>
      <w:r w:rsidR="006A2538">
        <w:rPr>
          <w:rFonts w:ascii="Aptos" w:hAnsi="Aptos" w:cstheme="minorHAnsi"/>
          <w:b/>
          <w:bCs/>
        </w:rPr>
        <w:t xml:space="preserve"> (dále jen Akční plán)</w:t>
      </w:r>
      <w:r w:rsidR="00A223AF" w:rsidRPr="007C73EC">
        <w:rPr>
          <w:rFonts w:ascii="Aptos" w:hAnsi="Aptos" w:cstheme="minorHAnsi"/>
        </w:rPr>
        <w:t>.</w:t>
      </w:r>
    </w:p>
    <w:p w14:paraId="17A5CF48" w14:textId="0C1BAC6F" w:rsidR="00F9787B" w:rsidRPr="00F9787B" w:rsidRDefault="007228DA" w:rsidP="00F9787B">
      <w:pPr>
        <w:pStyle w:val="Odstavecseseznamem"/>
        <w:numPr>
          <w:ilvl w:val="0"/>
          <w:numId w:val="23"/>
        </w:numPr>
        <w:pBdr>
          <w:bottom w:val="single" w:sz="6" w:space="1" w:color="auto"/>
        </w:pBdr>
        <w:spacing w:after="0" w:line="240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Zastupitelstvu</w:t>
      </w:r>
      <w:r w:rsidR="00476759" w:rsidRPr="007C73EC">
        <w:rPr>
          <w:rFonts w:ascii="Aptos" w:hAnsi="Aptos" w:cstheme="minorHAnsi"/>
        </w:rPr>
        <w:t xml:space="preserve"> města je předkládána změna Programového rámce </w:t>
      </w:r>
      <w:r w:rsidR="00476759">
        <w:rPr>
          <w:rFonts w:ascii="Aptos" w:hAnsi="Aptos" w:cstheme="minorHAnsi"/>
        </w:rPr>
        <w:t>OPD</w:t>
      </w:r>
      <w:r w:rsidR="00476759" w:rsidRPr="007C73EC">
        <w:rPr>
          <w:rFonts w:ascii="Aptos" w:hAnsi="Aptos" w:cstheme="minorHAnsi"/>
        </w:rPr>
        <w:t xml:space="preserve"> (dále jen PR</w:t>
      </w:r>
      <w:r w:rsidR="00476759">
        <w:rPr>
          <w:rFonts w:ascii="Aptos" w:hAnsi="Aptos" w:cstheme="minorHAnsi"/>
        </w:rPr>
        <w:t xml:space="preserve"> OPD</w:t>
      </w:r>
      <w:r w:rsidR="00476759" w:rsidRPr="007C73EC">
        <w:rPr>
          <w:rFonts w:ascii="Aptos" w:hAnsi="Aptos" w:cstheme="minorHAnsi"/>
        </w:rPr>
        <w:t>), který je součástí</w:t>
      </w:r>
      <w:r w:rsidR="00F9787B" w:rsidRPr="007C73EC">
        <w:rPr>
          <w:rFonts w:ascii="Aptos" w:hAnsi="Aptos" w:cstheme="minorHAnsi"/>
        </w:rPr>
        <w:t xml:space="preserve">, který je součástí </w:t>
      </w:r>
      <w:r w:rsidR="00F9787B" w:rsidRPr="007C73EC">
        <w:rPr>
          <w:rFonts w:ascii="Aptos" w:hAnsi="Aptos" w:cstheme="minorHAnsi"/>
          <w:b/>
          <w:bCs/>
        </w:rPr>
        <w:t>Akčního plánu Integrované územní strategie Ostravské metropolitní oblasti 2021-2027</w:t>
      </w:r>
      <w:r w:rsidR="00F9787B">
        <w:rPr>
          <w:rFonts w:ascii="Aptos" w:hAnsi="Aptos" w:cstheme="minorHAnsi"/>
          <w:b/>
          <w:bCs/>
        </w:rPr>
        <w:t xml:space="preserve"> (dále jen Akční plán)</w:t>
      </w:r>
      <w:r w:rsidR="00F9787B" w:rsidRPr="007C73EC">
        <w:rPr>
          <w:rFonts w:ascii="Aptos" w:hAnsi="Aptos" w:cstheme="minorHAnsi"/>
        </w:rPr>
        <w:t>.</w:t>
      </w:r>
    </w:p>
    <w:p w14:paraId="0662CCBA" w14:textId="4FA264FD" w:rsidR="008565F2" w:rsidRPr="007C73EC" w:rsidRDefault="006A2538" w:rsidP="00BB48BF">
      <w:pPr>
        <w:pStyle w:val="Odstavecseseznamem"/>
        <w:numPr>
          <w:ilvl w:val="0"/>
          <w:numId w:val="23"/>
        </w:numPr>
        <w:pBdr>
          <w:bottom w:val="single" w:sz="6" w:space="1" w:color="auto"/>
        </w:pBdr>
        <w:spacing w:after="0" w:line="240" w:lineRule="auto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Integrovanou územní s</w:t>
      </w:r>
      <w:r w:rsidR="007E19F3" w:rsidRPr="007C73EC">
        <w:rPr>
          <w:rFonts w:ascii="Aptos" w:hAnsi="Aptos" w:cstheme="minorHAnsi"/>
        </w:rPr>
        <w:t>trategi</w:t>
      </w:r>
      <w:r w:rsidR="00E422CC" w:rsidRPr="007C73EC">
        <w:rPr>
          <w:rFonts w:ascii="Aptos" w:hAnsi="Aptos" w:cstheme="minorHAnsi"/>
        </w:rPr>
        <w:t>i</w:t>
      </w:r>
      <w:r w:rsidR="007E19F3" w:rsidRPr="007C73EC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 xml:space="preserve">Ostravské metropolitní oblasti (dále jen Strategie) </w:t>
      </w:r>
      <w:r w:rsidR="007E19F3" w:rsidRPr="007C73EC">
        <w:rPr>
          <w:rFonts w:ascii="Aptos" w:hAnsi="Aptos" w:cstheme="minorHAnsi"/>
        </w:rPr>
        <w:t>schv</w:t>
      </w:r>
      <w:r w:rsidR="0058458C" w:rsidRPr="007C73EC">
        <w:rPr>
          <w:rFonts w:ascii="Aptos" w:hAnsi="Aptos" w:cstheme="minorHAnsi"/>
        </w:rPr>
        <w:t>álilo</w:t>
      </w:r>
      <w:r w:rsidR="007E19F3" w:rsidRPr="007C73EC"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</w:rPr>
        <w:t>Z</w:t>
      </w:r>
      <w:r w:rsidR="0058458C" w:rsidRPr="007C73EC">
        <w:rPr>
          <w:rFonts w:ascii="Aptos" w:hAnsi="Aptos" w:cstheme="minorHAnsi"/>
        </w:rPr>
        <w:t xml:space="preserve">astupitelstvo </w:t>
      </w:r>
      <w:r w:rsidR="007E19F3" w:rsidRPr="007C73EC">
        <w:rPr>
          <w:rFonts w:ascii="Aptos" w:hAnsi="Aptos" w:cstheme="minorHAnsi"/>
        </w:rPr>
        <w:t>statutární</w:t>
      </w:r>
      <w:r w:rsidR="0058458C" w:rsidRPr="007C73EC">
        <w:rPr>
          <w:rFonts w:ascii="Aptos" w:hAnsi="Aptos" w:cstheme="minorHAnsi"/>
        </w:rPr>
        <w:t>ho</w:t>
      </w:r>
      <w:r w:rsidR="007E19F3" w:rsidRPr="007C73EC">
        <w:rPr>
          <w:rFonts w:ascii="Aptos" w:hAnsi="Aptos" w:cstheme="minorHAnsi"/>
        </w:rPr>
        <w:t xml:space="preserve"> měst</w:t>
      </w:r>
      <w:r w:rsidR="0058458C" w:rsidRPr="007C73EC">
        <w:rPr>
          <w:rFonts w:ascii="Aptos" w:hAnsi="Aptos" w:cstheme="minorHAnsi"/>
        </w:rPr>
        <w:t>a</w:t>
      </w:r>
      <w:r w:rsidR="007E19F3" w:rsidRPr="007C73EC">
        <w:rPr>
          <w:rFonts w:ascii="Aptos" w:hAnsi="Aptos" w:cstheme="minorHAnsi"/>
        </w:rPr>
        <w:t xml:space="preserve"> Ostrav</w:t>
      </w:r>
      <w:r w:rsidR="0058458C" w:rsidRPr="007C73EC">
        <w:rPr>
          <w:rFonts w:ascii="Aptos" w:hAnsi="Aptos" w:cstheme="minorHAnsi"/>
        </w:rPr>
        <w:t>y</w:t>
      </w:r>
      <w:r w:rsidR="007E19F3" w:rsidRPr="007C73EC">
        <w:rPr>
          <w:rFonts w:ascii="Aptos" w:hAnsi="Aptos" w:cstheme="minorHAnsi"/>
        </w:rPr>
        <w:t xml:space="preserve"> jako </w:t>
      </w:r>
      <w:r w:rsidR="0058458C" w:rsidRPr="007C73EC">
        <w:rPr>
          <w:rFonts w:ascii="Aptos" w:hAnsi="Aptos" w:cstheme="minorHAnsi"/>
        </w:rPr>
        <w:t xml:space="preserve">její </w:t>
      </w:r>
      <w:r w:rsidR="007E19F3" w:rsidRPr="007C73EC">
        <w:rPr>
          <w:rFonts w:ascii="Aptos" w:hAnsi="Aptos" w:cstheme="minorHAnsi"/>
        </w:rPr>
        <w:t>nositel</w:t>
      </w:r>
      <w:r w:rsidR="0021313D" w:rsidRPr="007C73EC">
        <w:rPr>
          <w:rFonts w:ascii="Aptos" w:hAnsi="Aptos" w:cstheme="minorHAnsi"/>
        </w:rPr>
        <w:t xml:space="preserve"> dne 22. 6. 2022 usnesením </w:t>
      </w:r>
      <w:r w:rsidR="00ED21B8">
        <w:rPr>
          <w:rFonts w:ascii="Aptos" w:hAnsi="Aptos" w:cstheme="minorHAnsi"/>
        </w:rPr>
        <w:br/>
      </w:r>
      <w:r w:rsidR="0021313D" w:rsidRPr="007C73EC">
        <w:rPr>
          <w:rFonts w:ascii="Aptos" w:hAnsi="Aptos" w:cstheme="minorHAnsi"/>
        </w:rPr>
        <w:t xml:space="preserve">č. 2070/ZM1822/35. </w:t>
      </w:r>
    </w:p>
    <w:p w14:paraId="61285766" w14:textId="71189B91" w:rsidR="008565F2" w:rsidRPr="007C73EC" w:rsidRDefault="0020584F" w:rsidP="0021313D">
      <w:pPr>
        <w:pStyle w:val="Odstavecseseznamem"/>
        <w:numPr>
          <w:ilvl w:val="0"/>
          <w:numId w:val="23"/>
        </w:numPr>
        <w:pBdr>
          <w:bottom w:val="single" w:sz="6" w:space="1" w:color="auto"/>
        </w:pBdr>
        <w:spacing w:after="0" w:line="240" w:lineRule="auto"/>
        <w:jc w:val="both"/>
        <w:rPr>
          <w:rFonts w:ascii="Aptos" w:hAnsi="Aptos" w:cstheme="minorHAnsi"/>
        </w:rPr>
      </w:pPr>
      <w:r w:rsidRPr="007C73EC">
        <w:rPr>
          <w:rFonts w:ascii="Aptos" w:hAnsi="Aptos" w:cstheme="minorHAnsi"/>
          <w:b/>
          <w:bCs/>
        </w:rPr>
        <w:t>Akční plán</w:t>
      </w:r>
      <w:r w:rsidRPr="007C73EC">
        <w:rPr>
          <w:rFonts w:ascii="Aptos" w:hAnsi="Aptos" w:cstheme="minorHAnsi"/>
        </w:rPr>
        <w:t xml:space="preserve"> je </w:t>
      </w:r>
      <w:r w:rsidR="007F7F2E" w:rsidRPr="007C73EC">
        <w:rPr>
          <w:rFonts w:ascii="Aptos" w:hAnsi="Aptos" w:cstheme="minorHAnsi"/>
        </w:rPr>
        <w:t xml:space="preserve">finančním plánem a </w:t>
      </w:r>
      <w:r w:rsidRPr="007C73EC">
        <w:rPr>
          <w:rFonts w:ascii="Aptos" w:hAnsi="Aptos" w:cstheme="minorHAnsi"/>
        </w:rPr>
        <w:t>kompletní</w:t>
      </w:r>
      <w:r w:rsidR="007F7F2E" w:rsidRPr="007C73EC">
        <w:rPr>
          <w:rFonts w:ascii="Aptos" w:hAnsi="Aptos" w:cstheme="minorHAnsi"/>
        </w:rPr>
        <w:t>m</w:t>
      </w:r>
      <w:r w:rsidRPr="007C73EC">
        <w:rPr>
          <w:rFonts w:ascii="Aptos" w:hAnsi="Aptos" w:cstheme="minorHAnsi"/>
        </w:rPr>
        <w:t xml:space="preserve"> seznam</w:t>
      </w:r>
      <w:r w:rsidR="007F7F2E" w:rsidRPr="007C73EC">
        <w:rPr>
          <w:rFonts w:ascii="Aptos" w:hAnsi="Aptos" w:cstheme="minorHAnsi"/>
        </w:rPr>
        <w:t>em</w:t>
      </w:r>
      <w:r w:rsidRPr="007C73EC">
        <w:rPr>
          <w:rFonts w:ascii="Aptos" w:hAnsi="Aptos" w:cstheme="minorHAnsi"/>
        </w:rPr>
        <w:t xml:space="preserve"> záměrů, které budou</w:t>
      </w:r>
      <w:r w:rsidR="00675A0D" w:rsidRPr="007C73EC">
        <w:rPr>
          <w:rFonts w:ascii="Aptos" w:hAnsi="Aptos" w:cstheme="minorHAnsi"/>
        </w:rPr>
        <w:t xml:space="preserve"> realizován</w:t>
      </w:r>
      <w:r w:rsidR="00647047" w:rsidRPr="007C73EC">
        <w:rPr>
          <w:rFonts w:ascii="Aptos" w:hAnsi="Aptos" w:cstheme="minorHAnsi"/>
        </w:rPr>
        <w:t xml:space="preserve">y </w:t>
      </w:r>
      <w:r w:rsidRPr="007C73EC">
        <w:rPr>
          <w:rFonts w:ascii="Aptos" w:hAnsi="Aptos" w:cstheme="minorHAnsi"/>
        </w:rPr>
        <w:t>v</w:t>
      </w:r>
      <w:r w:rsidR="007F7F2E" w:rsidRPr="007C73EC">
        <w:rPr>
          <w:rFonts w:ascii="Aptos" w:hAnsi="Aptos" w:cstheme="minorHAnsi"/>
        </w:rPr>
        <w:t> </w:t>
      </w:r>
      <w:r w:rsidRPr="007C73EC">
        <w:rPr>
          <w:rFonts w:ascii="Aptos" w:hAnsi="Aptos" w:cstheme="minorHAnsi"/>
        </w:rPr>
        <w:t>programovém období 2021–2027</w:t>
      </w:r>
      <w:r w:rsidR="007F7F2E" w:rsidRPr="007C73EC">
        <w:rPr>
          <w:rFonts w:ascii="Aptos" w:hAnsi="Aptos" w:cstheme="minorHAnsi"/>
        </w:rPr>
        <w:t xml:space="preserve"> na území Ostravské metropolitní oblasti.</w:t>
      </w:r>
    </w:p>
    <w:p w14:paraId="70082079" w14:textId="77777777" w:rsidR="0020584F" w:rsidRDefault="0020584F" w:rsidP="0020584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b/>
          <w:bCs/>
          <w:color w:val="000000"/>
          <w:sz w:val="22"/>
          <w:szCs w:val="22"/>
          <w:shd w:val="clear" w:color="auto" w:fill="FFFFFF"/>
        </w:rPr>
      </w:pPr>
    </w:p>
    <w:p w14:paraId="4701AAC4" w14:textId="2A84AD9E" w:rsidR="00F9787B" w:rsidRDefault="00476759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>Integrovan</w:t>
      </w:r>
      <w:r w:rsidR="002F455C"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>á</w:t>
      </w:r>
      <w:r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 xml:space="preserve"> územní Strategie Ostravské metropolitní oblasti </w:t>
      </w:r>
      <w:r w:rsidRPr="00476759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je strategický dokument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pro rozvoj území Ostravské metropolitní oblasti.</w:t>
      </w:r>
      <w:r w:rsidR="007C7DE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Jedním z nástrojů pro realizaci strategie slouží integrovaný nástroj ITI (integrovaná teritoriální investice). 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S</w:t>
      </w:r>
      <w:r w:rsidR="007C7DE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oučástí Strategie je </w:t>
      </w:r>
      <w:r w:rsidR="007C7DE0" w:rsidRPr="007C7DE0"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>Akční plán</w:t>
      </w:r>
      <w:r w:rsidR="007C7DE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, který se skládá z pěti programových rámců operačních programů, které využívají ke své realizaci ITI. Akční plán je soubor programových rámců IROP, OPD, OPŽP, OP JAK a OP TAK. Programové rámce se v průběhu realizace Strategie mohou měnit.</w:t>
      </w:r>
    </w:p>
    <w:p w14:paraId="4F700A11" w14:textId="3F055C57" w:rsidR="007C7DE0" w:rsidRDefault="007C7DE0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Změny programových rámců jsou možné na základě požadavků jednotlivých nositelů projektů, které jsou obsahem programových rámců nebo z</w:t>
      </w:r>
      <w:r w:rsidR="00856B5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 administrativních (zpravidla 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formálních</w:t>
      </w:r>
      <w:r w:rsidR="002F455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)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důvodů.</w:t>
      </w:r>
    </w:p>
    <w:p w14:paraId="6BB11E01" w14:textId="77777777" w:rsidR="007C7DE0" w:rsidRDefault="007C7DE0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p w14:paraId="14E69275" w14:textId="12880010" w:rsidR="007C7DE0" w:rsidRPr="007C7DE0" w:rsidRDefault="007C7DE0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</w:pPr>
      <w:r w:rsidRPr="007C7DE0"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>Změna PR IROP</w:t>
      </w:r>
    </w:p>
    <w:p w14:paraId="076A60A0" w14:textId="77777777" w:rsidR="00277F78" w:rsidRPr="00333CA5" w:rsidRDefault="00277F78" w:rsidP="00277F78">
      <w:pPr>
        <w:pStyle w:val="paragraph"/>
        <w:numPr>
          <w:ilvl w:val="0"/>
          <w:numId w:val="37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i/>
          <w:iCs/>
          <w:sz w:val="22"/>
          <w:szCs w:val="22"/>
          <w:u w:val="single"/>
          <w:shd w:val="clear" w:color="auto" w:fill="FFFFFF"/>
        </w:rPr>
      </w:pPr>
      <w:r>
        <w:rPr>
          <w:rStyle w:val="normaltextrun"/>
          <w:rFonts w:ascii="Aptos" w:hAnsi="Aptos" w:cstheme="minorHAnsi"/>
          <w:i/>
          <w:iCs/>
          <w:sz w:val="22"/>
          <w:szCs w:val="22"/>
          <w:u w:val="single"/>
          <w:shd w:val="clear" w:color="auto" w:fill="FFFFFF"/>
        </w:rPr>
        <w:t>Rozšíření seznamu strategických projektů</w:t>
      </w:r>
      <w:r w:rsidRPr="00333CA5">
        <w:rPr>
          <w:rStyle w:val="normaltextrun"/>
          <w:rFonts w:ascii="Aptos" w:hAnsi="Aptos" w:cstheme="minorHAnsi"/>
          <w:i/>
          <w:iCs/>
          <w:sz w:val="22"/>
          <w:szCs w:val="22"/>
          <w:u w:val="single"/>
          <w:shd w:val="clear" w:color="auto" w:fill="FFFFFF"/>
        </w:rPr>
        <w:t xml:space="preserve"> PR IROP</w:t>
      </w:r>
    </w:p>
    <w:p w14:paraId="19984930" w14:textId="459F44CE" w:rsidR="00277F78" w:rsidRDefault="00277F78" w:rsidP="009C47F7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Jedním z důvodů, kdy je možné rozšiřovat seznam strategických projektu je odstoupení předkladatelů strategických projektů z realizace, které Řídicí výbor Strategie na svém posledním jednání schvaloval u projektů</w:t>
      </w:r>
      <w:r w:rsidR="00930F8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.</w:t>
      </w:r>
    </w:p>
    <w:p w14:paraId="170B0B8F" w14:textId="77777777" w:rsidR="00277F78" w:rsidRDefault="00277F78" w:rsidP="00277F78">
      <w:pPr>
        <w:pStyle w:val="Titulek"/>
        <w:spacing w:after="0"/>
        <w:rPr>
          <w:sz w:val="20"/>
          <w:szCs w:val="20"/>
        </w:rPr>
      </w:pPr>
      <w:r w:rsidRPr="00FD73DE">
        <w:rPr>
          <w:sz w:val="20"/>
          <w:szCs w:val="20"/>
        </w:rPr>
        <w:t xml:space="preserve">Tabulka </w:t>
      </w:r>
      <w:r>
        <w:rPr>
          <w:sz w:val="20"/>
          <w:szCs w:val="20"/>
        </w:rPr>
        <w:t>1</w:t>
      </w:r>
      <w:r w:rsidRPr="00FD73DE">
        <w:rPr>
          <w:sz w:val="20"/>
          <w:szCs w:val="20"/>
        </w:rPr>
        <w:t xml:space="preserve"> Odstoupení projektu z</w:t>
      </w:r>
      <w:r>
        <w:rPr>
          <w:sz w:val="20"/>
          <w:szCs w:val="20"/>
        </w:rPr>
        <w:t> </w:t>
      </w:r>
      <w:r w:rsidRPr="00FD73DE">
        <w:rPr>
          <w:sz w:val="20"/>
          <w:szCs w:val="20"/>
        </w:rPr>
        <w:t>realizace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65"/>
        <w:gridCol w:w="3222"/>
        <w:gridCol w:w="3059"/>
      </w:tblGrid>
      <w:tr w:rsidR="00277F78" w14:paraId="3C674420" w14:textId="77777777" w:rsidTr="0079265C">
        <w:tc>
          <w:tcPr>
            <w:tcW w:w="3065" w:type="dxa"/>
          </w:tcPr>
          <w:p w14:paraId="1DC725BF" w14:textId="77777777" w:rsidR="00277F78" w:rsidRPr="00FD73DE" w:rsidRDefault="00277F78" w:rsidP="0079265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D73DE">
              <w:rPr>
                <w:rFonts w:ascii="Aptos" w:hAnsi="Aptos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3222" w:type="dxa"/>
          </w:tcPr>
          <w:p w14:paraId="7BFFDE16" w14:textId="77777777" w:rsidR="00277F78" w:rsidRPr="00FD73DE" w:rsidRDefault="00277F78" w:rsidP="0079265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D73DE">
              <w:rPr>
                <w:rFonts w:ascii="Aptos" w:hAnsi="Aptos"/>
                <w:b/>
                <w:bCs/>
                <w:sz w:val="20"/>
                <w:szCs w:val="20"/>
              </w:rPr>
              <w:t>Evidenční číslo</w:t>
            </w:r>
          </w:p>
        </w:tc>
        <w:tc>
          <w:tcPr>
            <w:tcW w:w="3059" w:type="dxa"/>
          </w:tcPr>
          <w:p w14:paraId="21F7D9B2" w14:textId="77777777" w:rsidR="00277F78" w:rsidRPr="00FD73DE" w:rsidRDefault="00277F78" w:rsidP="0079265C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FD73DE">
              <w:rPr>
                <w:rFonts w:ascii="Aptos" w:hAnsi="Aptos"/>
                <w:b/>
                <w:bCs/>
                <w:sz w:val="20"/>
                <w:szCs w:val="20"/>
              </w:rPr>
              <w:t>Důvod odstoupení</w:t>
            </w:r>
          </w:p>
        </w:tc>
      </w:tr>
      <w:tr w:rsidR="00277F78" w14:paraId="3B206EE3" w14:textId="77777777" w:rsidTr="00930F80">
        <w:tc>
          <w:tcPr>
            <w:tcW w:w="3065" w:type="dxa"/>
            <w:vAlign w:val="center"/>
          </w:tcPr>
          <w:p w14:paraId="60AD5DE2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 xml:space="preserve">Informační centrum </w:t>
            </w:r>
            <w:proofErr w:type="spellStart"/>
            <w:r w:rsidRPr="00A859F7">
              <w:rPr>
                <w:rFonts w:ascii="Aptos" w:hAnsi="Aptos"/>
                <w:sz w:val="20"/>
                <w:szCs w:val="20"/>
              </w:rPr>
              <w:t>Technotrasa</w:t>
            </w:r>
            <w:proofErr w:type="spellEnd"/>
            <w:r w:rsidRPr="00A859F7">
              <w:rPr>
                <w:rFonts w:ascii="Aptos" w:hAnsi="Aptos"/>
                <w:sz w:val="20"/>
                <w:szCs w:val="20"/>
              </w:rPr>
              <w:t xml:space="preserve"> / TEREZA</w:t>
            </w:r>
          </w:p>
        </w:tc>
        <w:tc>
          <w:tcPr>
            <w:tcW w:w="3222" w:type="dxa"/>
            <w:vAlign w:val="center"/>
          </w:tcPr>
          <w:p w14:paraId="75F79445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>ITIOMO/3.7.1/008/IROP/07/0103</w:t>
            </w:r>
          </w:p>
        </w:tc>
        <w:tc>
          <w:tcPr>
            <w:tcW w:w="3059" w:type="dxa"/>
            <w:vAlign w:val="center"/>
          </w:tcPr>
          <w:p w14:paraId="36000DDC" w14:textId="77777777" w:rsidR="00277F78" w:rsidRPr="002B5E09" w:rsidRDefault="00277F78" w:rsidP="002F455C">
            <w:pPr>
              <w:rPr>
                <w:rFonts w:ascii="Aptos" w:hAnsi="Aptos"/>
                <w:sz w:val="18"/>
                <w:szCs w:val="18"/>
              </w:rPr>
            </w:pPr>
            <w:r w:rsidRPr="002B5E09">
              <w:rPr>
                <w:rFonts w:ascii="Aptos" w:eastAsia="Calibri" w:hAnsi="Aptos" w:cs="Arial"/>
                <w:bCs/>
                <w:sz w:val="18"/>
                <w:szCs w:val="18"/>
              </w:rPr>
              <w:t>Změna strategie v oblasti poskytování služeb informačních center.</w:t>
            </w:r>
          </w:p>
        </w:tc>
      </w:tr>
      <w:tr w:rsidR="00277F78" w14:paraId="5DE117A1" w14:textId="77777777" w:rsidTr="00930F80">
        <w:tc>
          <w:tcPr>
            <w:tcW w:w="3065" w:type="dxa"/>
            <w:vAlign w:val="center"/>
          </w:tcPr>
          <w:p w14:paraId="664ADC9E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>ITI II.- Rozvoj vodíkové mobility v Ostravě</w:t>
            </w:r>
          </w:p>
        </w:tc>
        <w:tc>
          <w:tcPr>
            <w:tcW w:w="3222" w:type="dxa"/>
            <w:vAlign w:val="center"/>
          </w:tcPr>
          <w:p w14:paraId="60FE97A7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>ITIOMO/3.1.1/012/IROP/04/0181</w:t>
            </w:r>
          </w:p>
        </w:tc>
        <w:tc>
          <w:tcPr>
            <w:tcW w:w="3059" w:type="dxa"/>
            <w:vAlign w:val="center"/>
          </w:tcPr>
          <w:p w14:paraId="220CBDFB" w14:textId="77777777" w:rsidR="00277F78" w:rsidRPr="002B5E09" w:rsidRDefault="00277F78" w:rsidP="002F455C">
            <w:pPr>
              <w:rPr>
                <w:rFonts w:ascii="Aptos" w:hAnsi="Aptos"/>
                <w:sz w:val="18"/>
                <w:szCs w:val="18"/>
              </w:rPr>
            </w:pPr>
            <w:r w:rsidRPr="002B5E09">
              <w:rPr>
                <w:rFonts w:ascii="Aptos" w:hAnsi="Aptos"/>
                <w:sz w:val="18"/>
                <w:szCs w:val="18"/>
              </w:rPr>
              <w:t>Nízká míra podpory (</w:t>
            </w:r>
            <w:proofErr w:type="gramStart"/>
            <w:r w:rsidRPr="002B5E09">
              <w:rPr>
                <w:rFonts w:ascii="Aptos" w:hAnsi="Aptos"/>
                <w:sz w:val="18"/>
                <w:szCs w:val="18"/>
              </w:rPr>
              <w:t>35%</w:t>
            </w:r>
            <w:proofErr w:type="gramEnd"/>
            <w:r w:rsidRPr="002B5E09">
              <w:rPr>
                <w:rFonts w:ascii="Aptos" w:hAnsi="Aptos"/>
                <w:sz w:val="18"/>
                <w:szCs w:val="18"/>
              </w:rPr>
              <w:t>), plnička bude vystavěna jiným realizátorem z jiného dotačního programu.</w:t>
            </w:r>
          </w:p>
        </w:tc>
      </w:tr>
      <w:tr w:rsidR="00277F78" w14:paraId="0663A446" w14:textId="77777777" w:rsidTr="00930F80">
        <w:tc>
          <w:tcPr>
            <w:tcW w:w="3065" w:type="dxa"/>
            <w:vAlign w:val="center"/>
          </w:tcPr>
          <w:p w14:paraId="1F546657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>Adaptace prostor ve 3. NP budovy č. 1 v Jablunkově na muzeum</w:t>
            </w:r>
          </w:p>
        </w:tc>
        <w:tc>
          <w:tcPr>
            <w:tcW w:w="3222" w:type="dxa"/>
            <w:vAlign w:val="center"/>
          </w:tcPr>
          <w:p w14:paraId="03E6CBD6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>ITIOMO/3.7.1/007/IROP/07/0207</w:t>
            </w:r>
          </w:p>
        </w:tc>
        <w:tc>
          <w:tcPr>
            <w:tcW w:w="3059" w:type="dxa"/>
            <w:vAlign w:val="center"/>
          </w:tcPr>
          <w:p w14:paraId="48267502" w14:textId="77777777" w:rsidR="00277F78" w:rsidRPr="002B5E09" w:rsidRDefault="00277F78" w:rsidP="002F455C">
            <w:pPr>
              <w:rPr>
                <w:rFonts w:ascii="Aptos" w:hAnsi="Aptos"/>
                <w:sz w:val="18"/>
                <w:szCs w:val="18"/>
              </w:rPr>
            </w:pPr>
            <w:r w:rsidRPr="002B5E09">
              <w:rPr>
                <w:rFonts w:ascii="Aptos" w:hAnsi="Aptos"/>
                <w:sz w:val="18"/>
                <w:szCs w:val="18"/>
              </w:rPr>
              <w:t>Realizováno z jiného dotačního titulu.</w:t>
            </w:r>
          </w:p>
        </w:tc>
      </w:tr>
      <w:tr w:rsidR="00277F78" w14:paraId="1F166ED8" w14:textId="77777777" w:rsidTr="00930F80">
        <w:tc>
          <w:tcPr>
            <w:tcW w:w="3065" w:type="dxa"/>
            <w:vAlign w:val="center"/>
          </w:tcPr>
          <w:p w14:paraId="37A1BD0A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>Revitalizace lesoparku Benátky a Hulváckého kopce – zelená infrastruktura</w:t>
            </w:r>
          </w:p>
        </w:tc>
        <w:tc>
          <w:tcPr>
            <w:tcW w:w="3222" w:type="dxa"/>
            <w:vAlign w:val="center"/>
          </w:tcPr>
          <w:p w14:paraId="52DDF788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>ITIOMO/3.5.2/027/IROP/05/0260</w:t>
            </w:r>
          </w:p>
        </w:tc>
        <w:tc>
          <w:tcPr>
            <w:tcW w:w="3059" w:type="dxa"/>
            <w:vAlign w:val="center"/>
          </w:tcPr>
          <w:p w14:paraId="286E0083" w14:textId="77777777" w:rsidR="00277F78" w:rsidRPr="002B5E09" w:rsidRDefault="00277F78" w:rsidP="002F455C">
            <w:pPr>
              <w:rPr>
                <w:rFonts w:ascii="Aptos" w:hAnsi="Aptos"/>
                <w:sz w:val="18"/>
                <w:szCs w:val="18"/>
              </w:rPr>
            </w:pPr>
            <w:r w:rsidRPr="002B5E09">
              <w:rPr>
                <w:rFonts w:ascii="Aptos" w:eastAsia="Calibri" w:hAnsi="Aptos" w:cs="Arial"/>
                <w:bCs/>
                <w:sz w:val="18"/>
                <w:szCs w:val="18"/>
              </w:rPr>
              <w:t>Podstatná změna rozsahu projektového záměru a nesoulad harmonogramu realizace projektu s harmonogramem 77. výzvy IROP.</w:t>
            </w:r>
          </w:p>
        </w:tc>
      </w:tr>
      <w:tr w:rsidR="00277F78" w14:paraId="288AFF83" w14:textId="77777777" w:rsidTr="00930F80">
        <w:tc>
          <w:tcPr>
            <w:tcW w:w="3065" w:type="dxa"/>
            <w:vAlign w:val="center"/>
          </w:tcPr>
          <w:p w14:paraId="3AA7125C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>Městečko bezpečí – pořízení výukových programů a vybavení</w:t>
            </w:r>
          </w:p>
        </w:tc>
        <w:tc>
          <w:tcPr>
            <w:tcW w:w="3222" w:type="dxa"/>
            <w:vAlign w:val="center"/>
          </w:tcPr>
          <w:p w14:paraId="36782E9C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>ITIOMO/1.1.1/026/IROP/03/0263</w:t>
            </w:r>
          </w:p>
        </w:tc>
        <w:tc>
          <w:tcPr>
            <w:tcW w:w="3059" w:type="dxa"/>
            <w:vAlign w:val="center"/>
          </w:tcPr>
          <w:p w14:paraId="3BA0F2AF" w14:textId="77777777" w:rsidR="00277F78" w:rsidRPr="002B5E09" w:rsidRDefault="00277F78" w:rsidP="002F455C">
            <w:pPr>
              <w:rPr>
                <w:rFonts w:ascii="Aptos" w:hAnsi="Aptos"/>
                <w:sz w:val="18"/>
                <w:szCs w:val="18"/>
              </w:rPr>
            </w:pPr>
            <w:r w:rsidRPr="002B5E09">
              <w:rPr>
                <w:rFonts w:ascii="Aptos" w:eastAsia="Calibri" w:hAnsi="Aptos" w:cs="Arial"/>
                <w:bCs/>
                <w:sz w:val="18"/>
                <w:szCs w:val="18"/>
              </w:rPr>
              <w:t>Nesoulad časového harmonogramu projektu, který realizuje MSK.</w:t>
            </w:r>
          </w:p>
        </w:tc>
      </w:tr>
      <w:tr w:rsidR="00277F78" w:rsidRPr="00A859F7" w14:paraId="319D4684" w14:textId="77777777" w:rsidTr="00930F80">
        <w:tc>
          <w:tcPr>
            <w:tcW w:w="3065" w:type="dxa"/>
            <w:vAlign w:val="center"/>
          </w:tcPr>
          <w:p w14:paraId="7779198E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>Rekonstrukce Knihovny Petra Bezruče v Opavě – pobočka Kateřinky</w:t>
            </w:r>
          </w:p>
        </w:tc>
        <w:tc>
          <w:tcPr>
            <w:tcW w:w="3222" w:type="dxa"/>
            <w:vAlign w:val="center"/>
          </w:tcPr>
          <w:p w14:paraId="7BD65C09" w14:textId="77777777" w:rsidR="00277F78" w:rsidRPr="00A859F7" w:rsidRDefault="00277F78" w:rsidP="002F455C">
            <w:pPr>
              <w:rPr>
                <w:rFonts w:ascii="Aptos" w:hAnsi="Aptos"/>
                <w:sz w:val="20"/>
                <w:szCs w:val="20"/>
              </w:rPr>
            </w:pPr>
            <w:r w:rsidRPr="00A859F7">
              <w:rPr>
                <w:rFonts w:ascii="Aptos" w:hAnsi="Aptos"/>
                <w:sz w:val="20"/>
                <w:szCs w:val="20"/>
              </w:rPr>
              <w:t>ITIOMO/3.7.1/035/IROP/03/0299</w:t>
            </w:r>
          </w:p>
        </w:tc>
        <w:tc>
          <w:tcPr>
            <w:tcW w:w="3059" w:type="dxa"/>
            <w:vAlign w:val="center"/>
          </w:tcPr>
          <w:p w14:paraId="6995C46C" w14:textId="77777777" w:rsidR="00277F78" w:rsidRPr="002B5E09" w:rsidRDefault="00277F78" w:rsidP="002F455C">
            <w:pPr>
              <w:rPr>
                <w:rFonts w:ascii="Aptos" w:hAnsi="Aptos"/>
                <w:sz w:val="18"/>
                <w:szCs w:val="18"/>
              </w:rPr>
            </w:pPr>
            <w:r w:rsidRPr="002B5E09">
              <w:rPr>
                <w:rFonts w:ascii="Aptos" w:hAnsi="Aptos"/>
                <w:sz w:val="18"/>
                <w:szCs w:val="18"/>
              </w:rPr>
              <w:t>Realizováno z finančních prostředků určených pro zmírnění povodňových škod.</w:t>
            </w:r>
          </w:p>
        </w:tc>
      </w:tr>
    </w:tbl>
    <w:p w14:paraId="79A70347" w14:textId="77777777" w:rsidR="00277F78" w:rsidRPr="00A859F7" w:rsidRDefault="00277F78" w:rsidP="00277F78">
      <w:pPr>
        <w:rPr>
          <w:rFonts w:ascii="Aptos" w:hAnsi="Aptos"/>
          <w:i/>
          <w:iCs/>
          <w:sz w:val="18"/>
          <w:szCs w:val="18"/>
        </w:rPr>
      </w:pPr>
      <w:r w:rsidRPr="00A859F7">
        <w:rPr>
          <w:rFonts w:ascii="Aptos" w:hAnsi="Aptos"/>
          <w:i/>
          <w:iCs/>
          <w:sz w:val="18"/>
          <w:szCs w:val="18"/>
        </w:rPr>
        <w:t>Zdroj: vlastní</w:t>
      </w:r>
    </w:p>
    <w:p w14:paraId="5091AD8B" w14:textId="77777777" w:rsidR="00F4719C" w:rsidRDefault="00F4719C" w:rsidP="00F4719C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Odstoupení projektu je zaznamenáno v Příloze č. 4 Seznam strategických projektů PR IROP Akčního plánu Strategie. Seznam strategických projektů ve změnové verzi (z kapacitních důvodů) je přílohou č. 4 předloženého materiálu.</w:t>
      </w:r>
    </w:p>
    <w:p w14:paraId="5B84F72B" w14:textId="77777777" w:rsidR="00277F78" w:rsidRDefault="00277F78" w:rsidP="00277F7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p w14:paraId="724908D9" w14:textId="70F04A49" w:rsidR="00277F78" w:rsidRDefault="00277F78" w:rsidP="00277F7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lastRenderedPageBreak/>
        <w:t xml:space="preserve">Odstoupením projektů dochází k uvolnění alokace opatření. Pokud </w:t>
      </w:r>
      <w:r w:rsidR="002F455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je v daném opatření dostatečná absor</w:t>
      </w:r>
      <w:r w:rsidR="00930F8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p</w:t>
      </w:r>
      <w:r w:rsidR="002F455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ční kapacita a současně jsou evidovány úspory 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na již realizovaných projektech, je vyhlášena výzva nositele ITI. </w:t>
      </w:r>
    </w:p>
    <w:p w14:paraId="4336F412" w14:textId="4F0E4169" w:rsidR="00277F78" w:rsidRPr="00930F80" w:rsidRDefault="002F455C" w:rsidP="00B87CFE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0"/>
          <w:szCs w:val="20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Dne</w:t>
      </w:r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30.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</w:t>
      </w:r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1.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</w:t>
      </w:r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2026 byl ukončen příjem strategických projektů do výzvy nositele ITI 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br/>
      </w:r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č. 42 </w:t>
      </w:r>
      <w:proofErr w:type="gramStart"/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Zelená</w:t>
      </w:r>
      <w:proofErr w:type="gramEnd"/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infrastruktura veřejných prostranství II. Do PR IROP opatření č. 1 </w:t>
      </w:r>
      <w:proofErr w:type="gramStart"/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Zelená</w:t>
      </w:r>
      <w:proofErr w:type="gramEnd"/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infrastruktura byly navrženy projekty 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k zařazení do seznamu strategických projektů a zároveň byl vytvořen zásobník projektů pro případ dalších úspor </w:t>
      </w:r>
      <w:r w:rsidR="000E541F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na realizaci projektů </w:t>
      </w:r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nebo v případě odstoupení </w:t>
      </w:r>
      <w:r w:rsidR="000E541F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některého </w:t>
      </w:r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projektu z realizace. Alokace Opatření č. 1 </w:t>
      </w:r>
      <w:proofErr w:type="gramStart"/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Zelená</w:t>
      </w:r>
      <w:proofErr w:type="gramEnd"/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infrastruktura PR IROP bude naplněna na 123</w:t>
      </w:r>
      <w:r w:rsidR="00930F8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</w:t>
      </w:r>
      <w:r w:rsidR="00277F7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%.</w:t>
      </w:r>
    </w:p>
    <w:p w14:paraId="09C64E1A" w14:textId="1C52B093" w:rsidR="00277F78" w:rsidRPr="000E541F" w:rsidRDefault="00277F78" w:rsidP="00277F78">
      <w:pPr>
        <w:pStyle w:val="Titulek"/>
        <w:spacing w:after="0"/>
        <w:rPr>
          <w:rStyle w:val="normaltextrun"/>
          <w:sz w:val="20"/>
          <w:szCs w:val="20"/>
        </w:rPr>
      </w:pPr>
      <w:r w:rsidRPr="000E541F">
        <w:rPr>
          <w:sz w:val="20"/>
          <w:szCs w:val="20"/>
        </w:rPr>
        <w:t>Tabulka 2 Projekty schválené k rozšíření seznamu Přílohy č. 4 Seznam strategických projektů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823"/>
        <w:gridCol w:w="3402"/>
        <w:gridCol w:w="2126"/>
      </w:tblGrid>
      <w:tr w:rsidR="00277F78" w14:paraId="1DE4BD23" w14:textId="77777777" w:rsidTr="00930F80">
        <w:tc>
          <w:tcPr>
            <w:tcW w:w="3823" w:type="dxa"/>
            <w:vAlign w:val="center"/>
          </w:tcPr>
          <w:p w14:paraId="23592BD0" w14:textId="77777777" w:rsidR="00277F78" w:rsidRPr="000E541F" w:rsidRDefault="00277F78" w:rsidP="000E541F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0E541F">
              <w:rPr>
                <w:rFonts w:ascii="Aptos" w:hAnsi="Aptos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3402" w:type="dxa"/>
            <w:vAlign w:val="center"/>
          </w:tcPr>
          <w:p w14:paraId="2EF285FB" w14:textId="77777777" w:rsidR="00277F78" w:rsidRPr="000E541F" w:rsidRDefault="00277F78" w:rsidP="000E541F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0E541F">
              <w:rPr>
                <w:rFonts w:ascii="Aptos" w:hAnsi="Aptos"/>
                <w:b/>
                <w:bCs/>
                <w:sz w:val="20"/>
                <w:szCs w:val="20"/>
              </w:rPr>
              <w:t>Evidenční číslo projektu</w:t>
            </w:r>
          </w:p>
        </w:tc>
        <w:tc>
          <w:tcPr>
            <w:tcW w:w="2126" w:type="dxa"/>
            <w:vAlign w:val="center"/>
          </w:tcPr>
          <w:p w14:paraId="290AC999" w14:textId="77777777" w:rsidR="00277F78" w:rsidRPr="000E541F" w:rsidRDefault="00277F78" w:rsidP="000E541F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0E541F">
              <w:rPr>
                <w:rFonts w:ascii="Aptos" w:hAnsi="Aptos"/>
                <w:b/>
                <w:bCs/>
                <w:sz w:val="20"/>
                <w:szCs w:val="20"/>
              </w:rPr>
              <w:t>Předkladatel</w:t>
            </w:r>
          </w:p>
        </w:tc>
      </w:tr>
      <w:tr w:rsidR="00277F78" w14:paraId="31B5E78B" w14:textId="77777777" w:rsidTr="00930F80">
        <w:tc>
          <w:tcPr>
            <w:tcW w:w="3823" w:type="dxa"/>
            <w:vAlign w:val="center"/>
          </w:tcPr>
          <w:p w14:paraId="6B38B749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 w:cs="Calibri"/>
                <w:bCs/>
                <w:sz w:val="20"/>
                <w:szCs w:val="20"/>
              </w:rPr>
              <w:t>Park na ulici Přehradní obec Těrlicko</w:t>
            </w:r>
          </w:p>
        </w:tc>
        <w:tc>
          <w:tcPr>
            <w:tcW w:w="3402" w:type="dxa"/>
            <w:vAlign w:val="center"/>
          </w:tcPr>
          <w:p w14:paraId="79DC67F9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ITIOMO/3.5.2/042/IROP/05/0314</w:t>
            </w:r>
          </w:p>
        </w:tc>
        <w:tc>
          <w:tcPr>
            <w:tcW w:w="2126" w:type="dxa"/>
            <w:vAlign w:val="center"/>
          </w:tcPr>
          <w:p w14:paraId="178DB06C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obec Těrlicko</w:t>
            </w:r>
          </w:p>
        </w:tc>
      </w:tr>
      <w:tr w:rsidR="00277F78" w14:paraId="51F66FDD" w14:textId="77777777" w:rsidTr="00930F80">
        <w:tc>
          <w:tcPr>
            <w:tcW w:w="3823" w:type="dxa"/>
            <w:vAlign w:val="center"/>
          </w:tcPr>
          <w:p w14:paraId="2A807DD7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Náves Dolní Tošanovice</w:t>
            </w:r>
          </w:p>
        </w:tc>
        <w:tc>
          <w:tcPr>
            <w:tcW w:w="3402" w:type="dxa"/>
            <w:vAlign w:val="center"/>
          </w:tcPr>
          <w:p w14:paraId="1E685961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ITIOMO/3.5.2/042/IROP/05/0307</w:t>
            </w:r>
          </w:p>
        </w:tc>
        <w:tc>
          <w:tcPr>
            <w:tcW w:w="2126" w:type="dxa"/>
            <w:vAlign w:val="center"/>
          </w:tcPr>
          <w:p w14:paraId="2439A187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obec Dolní Tošanovice</w:t>
            </w:r>
          </w:p>
        </w:tc>
      </w:tr>
      <w:tr w:rsidR="00277F78" w14:paraId="5B5844A0" w14:textId="77777777" w:rsidTr="00930F80">
        <w:tc>
          <w:tcPr>
            <w:tcW w:w="3823" w:type="dxa"/>
            <w:vAlign w:val="center"/>
          </w:tcPr>
          <w:p w14:paraId="762E577C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Sportovní areál Neplachovice</w:t>
            </w:r>
          </w:p>
        </w:tc>
        <w:tc>
          <w:tcPr>
            <w:tcW w:w="3402" w:type="dxa"/>
            <w:vAlign w:val="center"/>
          </w:tcPr>
          <w:p w14:paraId="6ADF26F5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ITIOMO/3.5.2/042/IROP/05/0312</w:t>
            </w:r>
          </w:p>
        </w:tc>
        <w:tc>
          <w:tcPr>
            <w:tcW w:w="2126" w:type="dxa"/>
            <w:vAlign w:val="center"/>
          </w:tcPr>
          <w:p w14:paraId="0DE66909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obec Neplachovice</w:t>
            </w:r>
          </w:p>
        </w:tc>
      </w:tr>
      <w:tr w:rsidR="00277F78" w14:paraId="350CC59F" w14:textId="77777777" w:rsidTr="00930F80">
        <w:tc>
          <w:tcPr>
            <w:tcW w:w="3823" w:type="dxa"/>
            <w:vAlign w:val="center"/>
          </w:tcPr>
          <w:p w14:paraId="644D9D77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Úpravy veřejného prostranství v obci Krásná</w:t>
            </w:r>
          </w:p>
        </w:tc>
        <w:tc>
          <w:tcPr>
            <w:tcW w:w="3402" w:type="dxa"/>
            <w:vAlign w:val="center"/>
          </w:tcPr>
          <w:p w14:paraId="109EDB4A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ITIOMO/3.5.2/042/IROP/05/0315</w:t>
            </w:r>
          </w:p>
        </w:tc>
        <w:tc>
          <w:tcPr>
            <w:tcW w:w="2126" w:type="dxa"/>
            <w:vAlign w:val="center"/>
          </w:tcPr>
          <w:p w14:paraId="394F5F6E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obec Krásná</w:t>
            </w:r>
          </w:p>
        </w:tc>
      </w:tr>
      <w:tr w:rsidR="00277F78" w14:paraId="32546A99" w14:textId="77777777" w:rsidTr="00930F80">
        <w:tc>
          <w:tcPr>
            <w:tcW w:w="3823" w:type="dxa"/>
            <w:vAlign w:val="center"/>
          </w:tcPr>
          <w:p w14:paraId="46062340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Veřejné prostranství Náměstí Dr. E. Beneše</w:t>
            </w:r>
          </w:p>
        </w:tc>
        <w:tc>
          <w:tcPr>
            <w:tcW w:w="3402" w:type="dxa"/>
            <w:vAlign w:val="center"/>
          </w:tcPr>
          <w:p w14:paraId="74833AD1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ITIOMO/3.5.2/042/IROP/05/0320</w:t>
            </w:r>
          </w:p>
        </w:tc>
        <w:tc>
          <w:tcPr>
            <w:tcW w:w="2126" w:type="dxa"/>
            <w:vAlign w:val="center"/>
          </w:tcPr>
          <w:p w14:paraId="69746BB2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statutární město Ostrava</w:t>
            </w:r>
          </w:p>
        </w:tc>
      </w:tr>
      <w:tr w:rsidR="00277F78" w14:paraId="776E28F9" w14:textId="77777777" w:rsidTr="00930F80">
        <w:tc>
          <w:tcPr>
            <w:tcW w:w="3823" w:type="dxa"/>
            <w:vAlign w:val="center"/>
          </w:tcPr>
          <w:p w14:paraId="6B8A4EBD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Revitalizace zámeckého parku Dolní Benešov</w:t>
            </w:r>
          </w:p>
        </w:tc>
        <w:tc>
          <w:tcPr>
            <w:tcW w:w="3402" w:type="dxa"/>
            <w:vAlign w:val="center"/>
          </w:tcPr>
          <w:p w14:paraId="33FB9CBA" w14:textId="77777777" w:rsidR="00277F78" w:rsidRPr="00930F80" w:rsidRDefault="00277F78" w:rsidP="000E541F">
            <w:pPr>
              <w:rPr>
                <w:rFonts w:ascii="Aptos" w:hAnsi="Aptos" w:cs="Calibri"/>
                <w:bCs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ITIOMO/3.5.2/042/IROP/05/0327</w:t>
            </w:r>
          </w:p>
        </w:tc>
        <w:tc>
          <w:tcPr>
            <w:tcW w:w="2126" w:type="dxa"/>
            <w:vAlign w:val="center"/>
          </w:tcPr>
          <w:p w14:paraId="56B84CFB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město Dolní Benešov</w:t>
            </w:r>
          </w:p>
        </w:tc>
      </w:tr>
      <w:tr w:rsidR="00277F78" w14:paraId="62F6299A" w14:textId="77777777" w:rsidTr="00930F80">
        <w:tc>
          <w:tcPr>
            <w:tcW w:w="3823" w:type="dxa"/>
            <w:vAlign w:val="center"/>
          </w:tcPr>
          <w:p w14:paraId="5826D8F5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Revitalizace Radničního náměstí a okolí v Šenově</w:t>
            </w:r>
          </w:p>
        </w:tc>
        <w:tc>
          <w:tcPr>
            <w:tcW w:w="3402" w:type="dxa"/>
            <w:vAlign w:val="center"/>
          </w:tcPr>
          <w:p w14:paraId="655E1C9F" w14:textId="77777777" w:rsidR="00277F78" w:rsidRPr="00930F80" w:rsidRDefault="00277F78" w:rsidP="000E541F">
            <w:pPr>
              <w:rPr>
                <w:rFonts w:ascii="Aptos" w:hAnsi="Aptos" w:cs="Calibri"/>
                <w:bCs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ITIOMO/3.5.2/042/IROP/05/0308</w:t>
            </w:r>
          </w:p>
        </w:tc>
        <w:tc>
          <w:tcPr>
            <w:tcW w:w="2126" w:type="dxa"/>
            <w:vAlign w:val="center"/>
          </w:tcPr>
          <w:p w14:paraId="667CF5FF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město Šenov</w:t>
            </w:r>
          </w:p>
        </w:tc>
      </w:tr>
      <w:tr w:rsidR="00277F78" w14:paraId="1ECF8E1E" w14:textId="77777777" w:rsidTr="00930F80">
        <w:tc>
          <w:tcPr>
            <w:tcW w:w="3823" w:type="dxa"/>
            <w:vAlign w:val="center"/>
          </w:tcPr>
          <w:p w14:paraId="18A6DD5A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Revitalizace vnitrobloku M. Krásové/Pavlouskova, Ostrava-Poruba</w:t>
            </w:r>
          </w:p>
        </w:tc>
        <w:tc>
          <w:tcPr>
            <w:tcW w:w="3402" w:type="dxa"/>
            <w:vAlign w:val="center"/>
          </w:tcPr>
          <w:p w14:paraId="54868875" w14:textId="77777777" w:rsidR="00277F78" w:rsidRPr="00930F80" w:rsidRDefault="00277F78" w:rsidP="000E541F">
            <w:pPr>
              <w:rPr>
                <w:rFonts w:ascii="Aptos" w:hAnsi="Aptos" w:cs="Calibri"/>
                <w:bCs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ITIOMO/3.5.2/042/IROP/05/0324</w:t>
            </w:r>
          </w:p>
        </w:tc>
        <w:tc>
          <w:tcPr>
            <w:tcW w:w="2126" w:type="dxa"/>
            <w:vAlign w:val="center"/>
          </w:tcPr>
          <w:p w14:paraId="482DC446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 xml:space="preserve">statutární město Ostrava, </w:t>
            </w:r>
            <w:proofErr w:type="spellStart"/>
            <w:r w:rsidRPr="000E541F">
              <w:rPr>
                <w:rFonts w:ascii="Aptos" w:hAnsi="Aptos"/>
                <w:sz w:val="20"/>
                <w:szCs w:val="20"/>
              </w:rPr>
              <w:t>MOb</w:t>
            </w:r>
            <w:proofErr w:type="spellEnd"/>
          </w:p>
        </w:tc>
      </w:tr>
      <w:tr w:rsidR="00277F78" w14:paraId="47CDBD0D" w14:textId="77777777" w:rsidTr="00930F80">
        <w:tc>
          <w:tcPr>
            <w:tcW w:w="3823" w:type="dxa"/>
            <w:vAlign w:val="center"/>
          </w:tcPr>
          <w:p w14:paraId="1B8BE2D4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Vodní prvek Havlíčkovo nám., Ostrava-Poruba</w:t>
            </w:r>
          </w:p>
        </w:tc>
        <w:tc>
          <w:tcPr>
            <w:tcW w:w="3402" w:type="dxa"/>
            <w:vAlign w:val="center"/>
          </w:tcPr>
          <w:p w14:paraId="60898EE5" w14:textId="77777777" w:rsidR="00277F78" w:rsidRPr="00930F80" w:rsidRDefault="00277F78" w:rsidP="000E541F">
            <w:pPr>
              <w:rPr>
                <w:rFonts w:ascii="Aptos" w:hAnsi="Aptos" w:cs="Calibri"/>
                <w:bCs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ITIOMO/3.5.2/042/IROP/05/0323</w:t>
            </w:r>
          </w:p>
        </w:tc>
        <w:tc>
          <w:tcPr>
            <w:tcW w:w="2126" w:type="dxa"/>
            <w:vAlign w:val="center"/>
          </w:tcPr>
          <w:p w14:paraId="183BC3A8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 xml:space="preserve">statutární město Ostrava, </w:t>
            </w:r>
            <w:proofErr w:type="spellStart"/>
            <w:r w:rsidRPr="000E541F">
              <w:rPr>
                <w:rFonts w:ascii="Aptos" w:hAnsi="Aptos"/>
                <w:sz w:val="20"/>
                <w:szCs w:val="20"/>
              </w:rPr>
              <w:t>MOb</w:t>
            </w:r>
            <w:proofErr w:type="spellEnd"/>
          </w:p>
        </w:tc>
      </w:tr>
      <w:tr w:rsidR="00277F78" w14:paraId="4FDAAF49" w14:textId="77777777" w:rsidTr="00930F80">
        <w:tc>
          <w:tcPr>
            <w:tcW w:w="3823" w:type="dxa"/>
            <w:vAlign w:val="center"/>
          </w:tcPr>
          <w:p w14:paraId="3ADA7E54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Krnov – Revitalizace veřejných ploch u autobusového nádraží</w:t>
            </w:r>
          </w:p>
        </w:tc>
        <w:tc>
          <w:tcPr>
            <w:tcW w:w="3402" w:type="dxa"/>
            <w:vAlign w:val="center"/>
          </w:tcPr>
          <w:p w14:paraId="6B2D37DA" w14:textId="77777777" w:rsidR="00277F78" w:rsidRPr="00930F80" w:rsidRDefault="00277F78" w:rsidP="000E541F">
            <w:pPr>
              <w:rPr>
                <w:rFonts w:ascii="Aptos" w:hAnsi="Aptos" w:cs="Calibri"/>
                <w:bCs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ITIOMO/3.5.2/042/IROP/05/0326</w:t>
            </w:r>
          </w:p>
        </w:tc>
        <w:tc>
          <w:tcPr>
            <w:tcW w:w="2126" w:type="dxa"/>
            <w:vAlign w:val="center"/>
          </w:tcPr>
          <w:p w14:paraId="40C49025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město Krnov</w:t>
            </w:r>
          </w:p>
        </w:tc>
      </w:tr>
      <w:tr w:rsidR="00277F78" w14:paraId="4B8EF8F6" w14:textId="77777777" w:rsidTr="00930F80">
        <w:tc>
          <w:tcPr>
            <w:tcW w:w="3823" w:type="dxa"/>
            <w:vAlign w:val="center"/>
          </w:tcPr>
          <w:p w14:paraId="1383672D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Čtyři proměny veřejného prostoru v Ostravě-Jih</w:t>
            </w:r>
          </w:p>
        </w:tc>
        <w:tc>
          <w:tcPr>
            <w:tcW w:w="3402" w:type="dxa"/>
            <w:vAlign w:val="center"/>
          </w:tcPr>
          <w:p w14:paraId="3319F327" w14:textId="77777777" w:rsidR="00277F78" w:rsidRPr="00930F80" w:rsidRDefault="00277F78" w:rsidP="000E541F">
            <w:pPr>
              <w:rPr>
                <w:rFonts w:ascii="Aptos" w:hAnsi="Aptos" w:cs="Calibri"/>
                <w:bCs/>
                <w:i/>
                <w:iCs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ITIOMO/3.5.2/042/IROP/05/0322</w:t>
            </w:r>
          </w:p>
        </w:tc>
        <w:tc>
          <w:tcPr>
            <w:tcW w:w="2126" w:type="dxa"/>
            <w:vAlign w:val="center"/>
          </w:tcPr>
          <w:p w14:paraId="0591F5CA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 xml:space="preserve">statutární město Ostrava, </w:t>
            </w:r>
            <w:proofErr w:type="spellStart"/>
            <w:r w:rsidRPr="000E541F">
              <w:rPr>
                <w:rFonts w:ascii="Aptos" w:hAnsi="Aptos"/>
                <w:sz w:val="20"/>
                <w:szCs w:val="20"/>
              </w:rPr>
              <w:t>MOb</w:t>
            </w:r>
            <w:proofErr w:type="spellEnd"/>
          </w:p>
        </w:tc>
      </w:tr>
      <w:tr w:rsidR="00277F78" w14:paraId="508BB6E1" w14:textId="77777777" w:rsidTr="00930F80">
        <w:tc>
          <w:tcPr>
            <w:tcW w:w="3823" w:type="dxa"/>
            <w:vAlign w:val="center"/>
          </w:tcPr>
          <w:p w14:paraId="46F1C025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Náves Staříč</w:t>
            </w:r>
          </w:p>
        </w:tc>
        <w:tc>
          <w:tcPr>
            <w:tcW w:w="3402" w:type="dxa"/>
            <w:vAlign w:val="center"/>
          </w:tcPr>
          <w:p w14:paraId="43652FEC" w14:textId="77777777" w:rsidR="00277F78" w:rsidRPr="00930F80" w:rsidRDefault="00277F78" w:rsidP="000E541F">
            <w:pPr>
              <w:rPr>
                <w:rFonts w:ascii="Aptos" w:hAnsi="Aptos" w:cs="Calibri"/>
                <w:bCs/>
                <w:i/>
                <w:iCs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ITIOMO/3.5.2/042/IROP/05/0309</w:t>
            </w:r>
          </w:p>
        </w:tc>
        <w:tc>
          <w:tcPr>
            <w:tcW w:w="2126" w:type="dxa"/>
            <w:vAlign w:val="center"/>
          </w:tcPr>
          <w:p w14:paraId="1BEC3A77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obec Staříč</w:t>
            </w:r>
          </w:p>
        </w:tc>
      </w:tr>
      <w:tr w:rsidR="00277F78" w14:paraId="72E8C235" w14:textId="77777777" w:rsidTr="00930F80">
        <w:tc>
          <w:tcPr>
            <w:tcW w:w="3823" w:type="dxa"/>
            <w:vAlign w:val="center"/>
          </w:tcPr>
          <w:p w14:paraId="1AF3B2CD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Revitalizace Parku za radnicí, Ostrava – Mariánské Hory</w:t>
            </w:r>
          </w:p>
        </w:tc>
        <w:tc>
          <w:tcPr>
            <w:tcW w:w="3402" w:type="dxa"/>
            <w:vAlign w:val="center"/>
          </w:tcPr>
          <w:p w14:paraId="121F2CE1" w14:textId="77777777" w:rsidR="00277F78" w:rsidRPr="00930F80" w:rsidRDefault="00277F78" w:rsidP="000E541F">
            <w:pPr>
              <w:rPr>
                <w:rFonts w:ascii="Aptos" w:hAnsi="Aptos" w:cs="Calibri"/>
                <w:bCs/>
                <w:i/>
                <w:iCs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ITIOMO/3.5.2/042/IROP/05/0313</w:t>
            </w:r>
          </w:p>
        </w:tc>
        <w:tc>
          <w:tcPr>
            <w:tcW w:w="2126" w:type="dxa"/>
            <w:vAlign w:val="center"/>
          </w:tcPr>
          <w:p w14:paraId="51097560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 xml:space="preserve">statutární město Ostrava, </w:t>
            </w:r>
            <w:proofErr w:type="spellStart"/>
            <w:r w:rsidRPr="000E541F">
              <w:rPr>
                <w:rFonts w:ascii="Aptos" w:hAnsi="Aptos"/>
                <w:sz w:val="20"/>
                <w:szCs w:val="20"/>
              </w:rPr>
              <w:t>MOb</w:t>
            </w:r>
            <w:proofErr w:type="spellEnd"/>
          </w:p>
        </w:tc>
      </w:tr>
      <w:tr w:rsidR="00277F78" w14:paraId="394B2006" w14:textId="77777777" w:rsidTr="00930F80">
        <w:tc>
          <w:tcPr>
            <w:tcW w:w="3823" w:type="dxa"/>
            <w:vAlign w:val="center"/>
          </w:tcPr>
          <w:p w14:paraId="666F5F64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Parkové úpravy v centru Hošťálkovic</w:t>
            </w:r>
          </w:p>
        </w:tc>
        <w:tc>
          <w:tcPr>
            <w:tcW w:w="3402" w:type="dxa"/>
            <w:vAlign w:val="center"/>
          </w:tcPr>
          <w:p w14:paraId="59AB6E25" w14:textId="77777777" w:rsidR="00277F78" w:rsidRPr="00930F80" w:rsidRDefault="00277F78" w:rsidP="000E541F">
            <w:pPr>
              <w:rPr>
                <w:rFonts w:ascii="Aptos" w:hAnsi="Aptos" w:cs="Calibri"/>
                <w:bCs/>
                <w:i/>
                <w:iCs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ITIOMO/3.5.2/042/IROP/05/0318</w:t>
            </w:r>
          </w:p>
        </w:tc>
        <w:tc>
          <w:tcPr>
            <w:tcW w:w="2126" w:type="dxa"/>
            <w:vAlign w:val="center"/>
          </w:tcPr>
          <w:p w14:paraId="20AD7415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statutární město Ostrava</w:t>
            </w:r>
          </w:p>
        </w:tc>
      </w:tr>
      <w:tr w:rsidR="00277F78" w14:paraId="5C0AD8B1" w14:textId="77777777" w:rsidTr="00930F80">
        <w:tc>
          <w:tcPr>
            <w:tcW w:w="3823" w:type="dxa"/>
            <w:vAlign w:val="center"/>
          </w:tcPr>
          <w:p w14:paraId="12184A38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Obnova parkové plochy mezi ulicemi Umělecká a Denisova</w:t>
            </w:r>
          </w:p>
        </w:tc>
        <w:tc>
          <w:tcPr>
            <w:tcW w:w="3402" w:type="dxa"/>
            <w:vAlign w:val="center"/>
          </w:tcPr>
          <w:p w14:paraId="48E3F71F" w14:textId="77777777" w:rsidR="00277F78" w:rsidRPr="00930F80" w:rsidRDefault="00277F78" w:rsidP="000E541F">
            <w:pPr>
              <w:rPr>
                <w:rFonts w:ascii="Aptos" w:hAnsi="Aptos" w:cs="Calibri"/>
                <w:bCs/>
                <w:i/>
                <w:iCs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ITIOMO/3.5.2/042/IROP/05/0319</w:t>
            </w:r>
          </w:p>
        </w:tc>
        <w:tc>
          <w:tcPr>
            <w:tcW w:w="2126" w:type="dxa"/>
            <w:vAlign w:val="center"/>
          </w:tcPr>
          <w:p w14:paraId="6C8C439D" w14:textId="77777777" w:rsidR="00277F78" w:rsidRPr="000E541F" w:rsidRDefault="00277F78" w:rsidP="000E541F">
            <w:pPr>
              <w:rPr>
                <w:rFonts w:ascii="Aptos" w:hAnsi="Aptos"/>
                <w:sz w:val="20"/>
                <w:szCs w:val="20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>statutární město Ostrava</w:t>
            </w:r>
          </w:p>
        </w:tc>
      </w:tr>
    </w:tbl>
    <w:p w14:paraId="21547C1D" w14:textId="77777777" w:rsidR="00277F78" w:rsidRPr="00CE6ADD" w:rsidRDefault="00277F78" w:rsidP="00277F78">
      <w:pPr>
        <w:rPr>
          <w:i/>
          <w:iCs/>
          <w:sz w:val="18"/>
          <w:szCs w:val="18"/>
        </w:rPr>
      </w:pPr>
      <w:r w:rsidRPr="00CE6ADD">
        <w:rPr>
          <w:i/>
          <w:iCs/>
          <w:sz w:val="18"/>
          <w:szCs w:val="18"/>
        </w:rPr>
        <w:t>Zdroj: vlastní</w:t>
      </w:r>
    </w:p>
    <w:p w14:paraId="489712C9" w14:textId="36ECA3CC" w:rsidR="00277F78" w:rsidRPr="00CE6ADD" w:rsidRDefault="00277F78" w:rsidP="00277F78">
      <w:pPr>
        <w:pStyle w:val="Titulek"/>
        <w:spacing w:after="0"/>
        <w:rPr>
          <w:rStyle w:val="normaltextrun"/>
          <w:rFonts w:ascii="Aptos" w:hAnsi="Aptos" w:cstheme="minorHAnsi"/>
          <w:sz w:val="20"/>
          <w:szCs w:val="20"/>
          <w:shd w:val="clear" w:color="auto" w:fill="FFFFFF"/>
        </w:rPr>
      </w:pPr>
      <w:r w:rsidRPr="00CE6ADD">
        <w:rPr>
          <w:sz w:val="20"/>
          <w:szCs w:val="20"/>
        </w:rPr>
        <w:t xml:space="preserve">Tabulka </w:t>
      </w:r>
      <w:r w:rsidR="00F4719C">
        <w:rPr>
          <w:sz w:val="20"/>
          <w:szCs w:val="20"/>
        </w:rPr>
        <w:t>3</w:t>
      </w:r>
      <w:r w:rsidRPr="00CE6ADD">
        <w:rPr>
          <w:sz w:val="20"/>
          <w:szCs w:val="20"/>
        </w:rPr>
        <w:t xml:space="preserve"> Projekty schválené do zásobníků seznamu strategických projektů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823"/>
        <w:gridCol w:w="3402"/>
        <w:gridCol w:w="2121"/>
      </w:tblGrid>
      <w:tr w:rsidR="00277F78" w14:paraId="42EEBAF3" w14:textId="77777777" w:rsidTr="0079265C">
        <w:tc>
          <w:tcPr>
            <w:tcW w:w="3823" w:type="dxa"/>
          </w:tcPr>
          <w:p w14:paraId="66B88F12" w14:textId="77777777" w:rsidR="00277F78" w:rsidRPr="00CE6ADD" w:rsidRDefault="00277F78" w:rsidP="0079265C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CE6ADD"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Název projektu</w:t>
            </w:r>
          </w:p>
        </w:tc>
        <w:tc>
          <w:tcPr>
            <w:tcW w:w="3402" w:type="dxa"/>
          </w:tcPr>
          <w:p w14:paraId="51558E83" w14:textId="77777777" w:rsidR="00277F78" w:rsidRPr="00CE6ADD" w:rsidRDefault="00277F78" w:rsidP="0079265C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CE6ADD"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Evidenční číslo projektu</w:t>
            </w:r>
          </w:p>
        </w:tc>
        <w:tc>
          <w:tcPr>
            <w:tcW w:w="2121" w:type="dxa"/>
          </w:tcPr>
          <w:p w14:paraId="5A4923C9" w14:textId="77777777" w:rsidR="00277F78" w:rsidRPr="00CE6ADD" w:rsidRDefault="00277F78" w:rsidP="0079265C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CE6ADD"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Předkladatel</w:t>
            </w:r>
          </w:p>
        </w:tc>
      </w:tr>
      <w:tr w:rsidR="00277F78" w14:paraId="2C6FE7EC" w14:textId="77777777" w:rsidTr="00930F80">
        <w:tc>
          <w:tcPr>
            <w:tcW w:w="3823" w:type="dxa"/>
            <w:vAlign w:val="center"/>
          </w:tcPr>
          <w:p w14:paraId="5B86C974" w14:textId="77777777" w:rsidR="00277F78" w:rsidRPr="00930F80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930F80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Revitalizace sadu Jožky Jabůrkové</w:t>
            </w:r>
          </w:p>
        </w:tc>
        <w:tc>
          <w:tcPr>
            <w:tcW w:w="3402" w:type="dxa"/>
            <w:vAlign w:val="center"/>
          </w:tcPr>
          <w:p w14:paraId="5CEB446D" w14:textId="77777777" w:rsidR="00277F78" w:rsidRPr="000E541F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Fonts w:ascii="Aptos" w:hAnsi="Aptos" w:cs="Calibri"/>
                <w:bCs/>
                <w:sz w:val="20"/>
                <w:szCs w:val="20"/>
                <w:lang w:eastAsia="en-US"/>
              </w:rPr>
              <w:t>ITIOMO/3.5.2/042/IROP/05/03</w:t>
            </w:r>
            <w:r w:rsidRPr="000E541F">
              <w:rPr>
                <w:rFonts w:ascii="Aptos" w:hAnsi="Aptos" w:cs="Calibri"/>
                <w:bCs/>
                <w:sz w:val="20"/>
                <w:szCs w:val="20"/>
              </w:rPr>
              <w:t>21</w:t>
            </w:r>
          </w:p>
        </w:tc>
        <w:tc>
          <w:tcPr>
            <w:tcW w:w="2121" w:type="dxa"/>
            <w:vAlign w:val="center"/>
          </w:tcPr>
          <w:p w14:paraId="48ACE8E8" w14:textId="77777777" w:rsidR="00277F78" w:rsidRPr="00930F80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Fonts w:ascii="Aptos" w:hAnsi="Aptos"/>
                <w:sz w:val="20"/>
                <w:szCs w:val="20"/>
              </w:rPr>
              <w:t xml:space="preserve">statutární město Ostrava, </w:t>
            </w:r>
            <w:proofErr w:type="spellStart"/>
            <w:r w:rsidRPr="000E541F">
              <w:rPr>
                <w:rFonts w:ascii="Aptos" w:hAnsi="Aptos"/>
                <w:sz w:val="20"/>
                <w:szCs w:val="20"/>
              </w:rPr>
              <w:t>MOb</w:t>
            </w:r>
            <w:proofErr w:type="spellEnd"/>
          </w:p>
        </w:tc>
      </w:tr>
      <w:tr w:rsidR="00277F78" w14:paraId="47B9D7DD" w14:textId="77777777" w:rsidTr="00930F80">
        <w:tc>
          <w:tcPr>
            <w:tcW w:w="3823" w:type="dxa"/>
            <w:vAlign w:val="center"/>
          </w:tcPr>
          <w:p w14:paraId="5C2101D4" w14:textId="77777777" w:rsidR="00277F78" w:rsidRPr="00930F80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930F80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Náves obce Píšť</w:t>
            </w:r>
          </w:p>
        </w:tc>
        <w:tc>
          <w:tcPr>
            <w:tcW w:w="3402" w:type="dxa"/>
            <w:vAlign w:val="center"/>
          </w:tcPr>
          <w:p w14:paraId="79500B96" w14:textId="77777777" w:rsidR="00277F78" w:rsidRPr="000E541F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Fonts w:ascii="Aptos" w:hAnsi="Aptos" w:cs="Calibri"/>
                <w:bCs/>
                <w:sz w:val="20"/>
                <w:szCs w:val="20"/>
                <w:lang w:eastAsia="en-US"/>
              </w:rPr>
              <w:t>ITIOMO/3.5.2/042/IROP/05/03</w:t>
            </w:r>
            <w:r w:rsidRPr="000E541F">
              <w:rPr>
                <w:rFonts w:ascii="Aptos" w:hAnsi="Aptos" w:cs="Calibri"/>
                <w:bCs/>
                <w:sz w:val="20"/>
                <w:szCs w:val="20"/>
              </w:rPr>
              <w:t>28</w:t>
            </w:r>
          </w:p>
        </w:tc>
        <w:tc>
          <w:tcPr>
            <w:tcW w:w="2121" w:type="dxa"/>
            <w:vAlign w:val="center"/>
          </w:tcPr>
          <w:p w14:paraId="0ED97713" w14:textId="77777777" w:rsidR="00277F78" w:rsidRPr="000E541F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obec Píšť</w:t>
            </w:r>
          </w:p>
        </w:tc>
      </w:tr>
      <w:tr w:rsidR="00277F78" w14:paraId="55113111" w14:textId="77777777" w:rsidTr="00930F80">
        <w:tc>
          <w:tcPr>
            <w:tcW w:w="3823" w:type="dxa"/>
            <w:vAlign w:val="center"/>
          </w:tcPr>
          <w:p w14:paraId="3F9B0975" w14:textId="77777777" w:rsidR="00277F78" w:rsidRPr="00930F80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930F80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VŠB-TUO, Studentské náměstí - I. etapa</w:t>
            </w:r>
          </w:p>
        </w:tc>
        <w:tc>
          <w:tcPr>
            <w:tcW w:w="3402" w:type="dxa"/>
            <w:vAlign w:val="center"/>
          </w:tcPr>
          <w:p w14:paraId="39C6B4FB" w14:textId="77777777" w:rsidR="00277F78" w:rsidRPr="000E541F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Fonts w:ascii="Aptos" w:hAnsi="Aptos" w:cs="Calibri"/>
                <w:bCs/>
                <w:sz w:val="20"/>
                <w:szCs w:val="20"/>
                <w:lang w:eastAsia="en-US"/>
              </w:rPr>
              <w:t>ITIOMO/3.5.2/042/IROP/05/03</w:t>
            </w:r>
            <w:r w:rsidRPr="000E541F">
              <w:rPr>
                <w:rFonts w:ascii="Aptos" w:hAnsi="Aptos" w:cs="Calibri"/>
                <w:bCs/>
                <w:sz w:val="20"/>
                <w:szCs w:val="20"/>
              </w:rPr>
              <w:t>25</w:t>
            </w:r>
          </w:p>
        </w:tc>
        <w:tc>
          <w:tcPr>
            <w:tcW w:w="2121" w:type="dxa"/>
            <w:vAlign w:val="center"/>
          </w:tcPr>
          <w:p w14:paraId="1719D51B" w14:textId="77777777" w:rsidR="00277F78" w:rsidRPr="000E541F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Vysoká škola báňská – Technická univerzita Ostrava</w:t>
            </w:r>
          </w:p>
        </w:tc>
      </w:tr>
      <w:tr w:rsidR="00277F78" w14:paraId="49A97BF3" w14:textId="77777777" w:rsidTr="00930F80">
        <w:tc>
          <w:tcPr>
            <w:tcW w:w="3823" w:type="dxa"/>
            <w:vAlign w:val="center"/>
          </w:tcPr>
          <w:p w14:paraId="0F94453A" w14:textId="77777777" w:rsidR="00277F78" w:rsidRPr="00930F80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930F80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Úprava návsi v Komorní Lhotce</w:t>
            </w:r>
          </w:p>
        </w:tc>
        <w:tc>
          <w:tcPr>
            <w:tcW w:w="3402" w:type="dxa"/>
            <w:vAlign w:val="center"/>
          </w:tcPr>
          <w:p w14:paraId="463072B3" w14:textId="77777777" w:rsidR="00277F78" w:rsidRPr="000E541F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Fonts w:ascii="Aptos" w:hAnsi="Aptos" w:cs="Calibri"/>
                <w:bCs/>
                <w:sz w:val="20"/>
                <w:szCs w:val="20"/>
                <w:lang w:eastAsia="en-US"/>
              </w:rPr>
              <w:t>ITIOMO/3.5.2/042/IROP/05/03</w:t>
            </w:r>
            <w:r w:rsidRPr="000E541F">
              <w:rPr>
                <w:rFonts w:ascii="Aptos" w:hAnsi="Aptos" w:cs="Calibri"/>
                <w:bCs/>
                <w:sz w:val="20"/>
                <w:szCs w:val="20"/>
              </w:rPr>
              <w:t>16</w:t>
            </w:r>
          </w:p>
        </w:tc>
        <w:tc>
          <w:tcPr>
            <w:tcW w:w="2121" w:type="dxa"/>
            <w:vAlign w:val="center"/>
          </w:tcPr>
          <w:p w14:paraId="4BAD1272" w14:textId="77777777" w:rsidR="00277F78" w:rsidRPr="000E541F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obec Komorní Lhotka</w:t>
            </w:r>
          </w:p>
        </w:tc>
      </w:tr>
      <w:tr w:rsidR="00277F78" w14:paraId="42B7BD0C" w14:textId="77777777" w:rsidTr="00930F80">
        <w:tc>
          <w:tcPr>
            <w:tcW w:w="3823" w:type="dxa"/>
            <w:vAlign w:val="center"/>
          </w:tcPr>
          <w:p w14:paraId="0604FFA2" w14:textId="77777777" w:rsidR="00277F78" w:rsidRPr="00930F80" w:rsidRDefault="00277F78" w:rsidP="000E541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930F80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Obnova Zámeckého parku v Šenově</w:t>
            </w:r>
          </w:p>
        </w:tc>
        <w:tc>
          <w:tcPr>
            <w:tcW w:w="3402" w:type="dxa"/>
            <w:vAlign w:val="center"/>
          </w:tcPr>
          <w:p w14:paraId="08CFA1FA" w14:textId="77777777" w:rsidR="00277F78" w:rsidRPr="000E541F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Fonts w:ascii="Aptos" w:hAnsi="Aptos" w:cs="Calibri"/>
                <w:bCs/>
                <w:sz w:val="20"/>
                <w:szCs w:val="20"/>
                <w:lang w:eastAsia="en-US"/>
              </w:rPr>
              <w:t>ITIOMO/3.5.2/042/IROP/05/03</w:t>
            </w:r>
            <w:r w:rsidRPr="000E541F">
              <w:rPr>
                <w:rFonts w:ascii="Aptos" w:hAnsi="Aptos" w:cs="Calibri"/>
                <w:bCs/>
                <w:sz w:val="20"/>
                <w:szCs w:val="20"/>
              </w:rPr>
              <w:t>29</w:t>
            </w:r>
          </w:p>
        </w:tc>
        <w:tc>
          <w:tcPr>
            <w:tcW w:w="2121" w:type="dxa"/>
            <w:vAlign w:val="center"/>
          </w:tcPr>
          <w:p w14:paraId="2085A92C" w14:textId="77777777" w:rsidR="00277F78" w:rsidRPr="000E541F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město Šenov</w:t>
            </w:r>
          </w:p>
        </w:tc>
      </w:tr>
      <w:tr w:rsidR="00277F78" w14:paraId="33982F07" w14:textId="77777777" w:rsidTr="00930F80">
        <w:tc>
          <w:tcPr>
            <w:tcW w:w="3823" w:type="dxa"/>
            <w:vAlign w:val="center"/>
          </w:tcPr>
          <w:p w14:paraId="1DDC5AD1" w14:textId="77777777" w:rsidR="00277F78" w:rsidRPr="00930F80" w:rsidRDefault="00277F78" w:rsidP="000E541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930F80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Revitalizace veřejného prostranství vnitrobloku Vardasova, Havířov</w:t>
            </w:r>
          </w:p>
        </w:tc>
        <w:tc>
          <w:tcPr>
            <w:tcW w:w="3402" w:type="dxa"/>
            <w:vAlign w:val="center"/>
          </w:tcPr>
          <w:p w14:paraId="2994B528" w14:textId="77777777" w:rsidR="00277F78" w:rsidRPr="000E541F" w:rsidRDefault="00277F78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Fonts w:ascii="Aptos" w:hAnsi="Aptos" w:cs="Calibri"/>
                <w:bCs/>
                <w:sz w:val="20"/>
                <w:szCs w:val="20"/>
                <w:lang w:eastAsia="en-US"/>
              </w:rPr>
              <w:t>ITIOMO/3.5.2/042/IROP/05/03</w:t>
            </w:r>
            <w:r w:rsidRPr="000E541F">
              <w:rPr>
                <w:rFonts w:ascii="Aptos" w:hAnsi="Aptos" w:cs="Calibri"/>
                <w:bCs/>
                <w:sz w:val="20"/>
                <w:szCs w:val="20"/>
              </w:rPr>
              <w:t>11</w:t>
            </w:r>
          </w:p>
        </w:tc>
        <w:tc>
          <w:tcPr>
            <w:tcW w:w="2121" w:type="dxa"/>
            <w:vAlign w:val="center"/>
          </w:tcPr>
          <w:p w14:paraId="48F67FF8" w14:textId="77777777" w:rsidR="00277F78" w:rsidRPr="000E541F" w:rsidRDefault="00277F78" w:rsidP="000E541F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0E541F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statutární město Havířov</w:t>
            </w:r>
          </w:p>
        </w:tc>
      </w:tr>
    </w:tbl>
    <w:p w14:paraId="7050E287" w14:textId="77777777" w:rsidR="00277F78" w:rsidRPr="00856B58" w:rsidRDefault="00277F78" w:rsidP="00277F7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i/>
          <w:iCs/>
          <w:sz w:val="18"/>
          <w:szCs w:val="18"/>
          <w:shd w:val="clear" w:color="auto" w:fill="FFFFFF"/>
        </w:rPr>
      </w:pPr>
      <w:r w:rsidRPr="00856B58">
        <w:rPr>
          <w:rStyle w:val="normaltextrun"/>
          <w:rFonts w:ascii="Aptos" w:hAnsi="Aptos" w:cstheme="minorHAnsi"/>
          <w:i/>
          <w:iCs/>
          <w:sz w:val="18"/>
          <w:szCs w:val="18"/>
          <w:shd w:val="clear" w:color="auto" w:fill="FFFFFF"/>
        </w:rPr>
        <w:t>Zdroj: vlastní</w:t>
      </w:r>
    </w:p>
    <w:p w14:paraId="4EFEE30C" w14:textId="77777777" w:rsidR="00277F78" w:rsidRDefault="00277F78" w:rsidP="00333CA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p w14:paraId="62A0BFCC" w14:textId="77777777" w:rsidR="00F4719C" w:rsidRDefault="00F4719C" w:rsidP="000E541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Rozšíření seznamu strategických projektů v opatření č. 1 </w:t>
      </w:r>
      <w:proofErr w:type="gramStart"/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Zelená</w:t>
      </w:r>
      <w:proofErr w:type="gramEnd"/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infrastruktura je zaznamenáno v Příloze č. 4 Seznam strategických projektů PR IROP Akčního plánu Strategie. Seznam strategických projektů ve změnové verzi (z kapacitních důvodů) je přílohou č. 4 předloženého materiálu.</w:t>
      </w:r>
    </w:p>
    <w:p w14:paraId="5170FD30" w14:textId="77777777" w:rsidR="005E6282" w:rsidRDefault="005E6282" w:rsidP="000E541F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p w14:paraId="47C2A870" w14:textId="3E0FB906" w:rsidR="008F6EE5" w:rsidRDefault="00780A77" w:rsidP="000E541F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Dne</w:t>
      </w:r>
      <w:r w:rsidR="003E06D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30.1.2026 byl ukončen příjem strategických projektů do výzvy nositele ITI </w:t>
      </w:r>
      <w:r w:rsidR="005E6282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br/>
      </w:r>
      <w:r w:rsidR="003E06D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č. 43 </w:t>
      </w:r>
      <w:r w:rsidR="008F6EE5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Bezemisní vozidla VHD IV.</w:t>
      </w:r>
      <w:r w:rsidR="003E06D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Do PR IROP opatření č. 1</w:t>
      </w:r>
      <w:r w:rsidR="008F6EE5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0</w:t>
      </w:r>
      <w:r w:rsidR="003E06D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</w:t>
      </w:r>
      <w:r w:rsidR="008F6EE5" w:rsidRPr="008F6EE5">
        <w:rPr>
          <w:rFonts w:ascii="Aptos" w:hAnsi="Aptos" w:cstheme="minorHAnsi"/>
          <w:sz w:val="22"/>
          <w:szCs w:val="22"/>
          <w:shd w:val="clear" w:color="auto" w:fill="FFFFFF"/>
        </w:rPr>
        <w:t xml:space="preserve">Nízkoemisní a bezemisní vozidla pro veřejnou dopravu </w:t>
      </w:r>
      <w:r w:rsidR="003E06D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byly navrženy </w:t>
      </w:r>
      <w:r w:rsidR="008F6EE5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dva </w:t>
      </w:r>
      <w:r w:rsidR="003E06D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projekty do seznamu strategických projektů</w:t>
      </w:r>
      <w:r w:rsidR="008F6EE5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.</w:t>
      </w:r>
    </w:p>
    <w:p w14:paraId="4AB6A99E" w14:textId="461E365D" w:rsidR="008F6EE5" w:rsidRDefault="008F6EE5" w:rsidP="008F6EE5">
      <w:pPr>
        <w:pStyle w:val="Titulek"/>
        <w:spacing w:after="0"/>
        <w:rPr>
          <w:sz w:val="20"/>
          <w:szCs w:val="20"/>
        </w:rPr>
      </w:pPr>
      <w:r w:rsidRPr="008F6EE5">
        <w:rPr>
          <w:sz w:val="20"/>
          <w:szCs w:val="20"/>
        </w:rPr>
        <w:t>Tabulka 4 Projekty schválené k rozšíření seznamu Přílohy č. 4 Seznam strategických projektů</w:t>
      </w:r>
    </w:p>
    <w:tbl>
      <w:tblPr>
        <w:tblStyle w:val="Mkatabulky"/>
        <w:tblW w:w="9351" w:type="dxa"/>
        <w:tblLook w:val="04A0" w:firstRow="1" w:lastRow="0" w:firstColumn="1" w:lastColumn="0" w:noHBand="0" w:noVBand="1"/>
      </w:tblPr>
      <w:tblGrid>
        <w:gridCol w:w="3823"/>
        <w:gridCol w:w="3402"/>
        <w:gridCol w:w="2126"/>
      </w:tblGrid>
      <w:tr w:rsidR="008F6EE5" w:rsidRPr="00B90DC3" w14:paraId="7477ABED" w14:textId="77777777" w:rsidTr="00F147AA">
        <w:tc>
          <w:tcPr>
            <w:tcW w:w="3823" w:type="dxa"/>
          </w:tcPr>
          <w:p w14:paraId="0A10ABB2" w14:textId="77777777" w:rsidR="008F6EE5" w:rsidRPr="00B90DC3" w:rsidRDefault="008F6EE5" w:rsidP="00F147A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B90DC3">
              <w:rPr>
                <w:rFonts w:ascii="Aptos" w:hAnsi="Aptos"/>
                <w:b/>
                <w:bCs/>
                <w:sz w:val="20"/>
                <w:szCs w:val="20"/>
              </w:rPr>
              <w:t>Název projektu</w:t>
            </w:r>
          </w:p>
        </w:tc>
        <w:tc>
          <w:tcPr>
            <w:tcW w:w="3402" w:type="dxa"/>
          </w:tcPr>
          <w:p w14:paraId="3C979279" w14:textId="77777777" w:rsidR="008F6EE5" w:rsidRPr="00B90DC3" w:rsidRDefault="008F6EE5" w:rsidP="00F147A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 w:rsidRPr="00B90DC3">
              <w:rPr>
                <w:rFonts w:ascii="Aptos" w:hAnsi="Aptos"/>
                <w:b/>
                <w:bCs/>
                <w:sz w:val="20"/>
                <w:szCs w:val="20"/>
              </w:rPr>
              <w:t>Evidenční číslo projektu</w:t>
            </w:r>
          </w:p>
        </w:tc>
        <w:tc>
          <w:tcPr>
            <w:tcW w:w="2126" w:type="dxa"/>
          </w:tcPr>
          <w:p w14:paraId="1DDAF863" w14:textId="77777777" w:rsidR="008F6EE5" w:rsidRPr="00B90DC3" w:rsidRDefault="008F6EE5" w:rsidP="00F147AA">
            <w:pPr>
              <w:rPr>
                <w:rFonts w:ascii="Aptos" w:hAnsi="Aptos"/>
                <w:b/>
                <w:bCs/>
                <w:sz w:val="20"/>
                <w:szCs w:val="20"/>
              </w:rPr>
            </w:pPr>
            <w:r>
              <w:rPr>
                <w:rFonts w:ascii="Aptos" w:hAnsi="Aptos"/>
                <w:b/>
                <w:bCs/>
                <w:sz w:val="20"/>
                <w:szCs w:val="20"/>
              </w:rPr>
              <w:t>Předkladatel</w:t>
            </w:r>
          </w:p>
        </w:tc>
      </w:tr>
      <w:tr w:rsidR="008F6EE5" w:rsidRPr="00CE6ADD" w14:paraId="53162E64" w14:textId="77777777" w:rsidTr="00780A77">
        <w:trPr>
          <w:trHeight w:val="630"/>
        </w:trPr>
        <w:tc>
          <w:tcPr>
            <w:tcW w:w="3823" w:type="dxa"/>
            <w:vAlign w:val="center"/>
          </w:tcPr>
          <w:p w14:paraId="2E0BAB9E" w14:textId="03ADA3EA" w:rsidR="008F6EE5" w:rsidRPr="005E6282" w:rsidRDefault="008F6EE5" w:rsidP="005E6282">
            <w:pPr>
              <w:rPr>
                <w:rFonts w:ascii="Aptos" w:hAnsi="Aptos"/>
                <w:sz w:val="20"/>
                <w:szCs w:val="20"/>
              </w:rPr>
            </w:pPr>
            <w:r w:rsidRPr="005E6282">
              <w:rPr>
                <w:rFonts w:ascii="Aptos" w:hAnsi="Aptos" w:cs="Calibri"/>
                <w:bCs/>
                <w:sz w:val="20"/>
                <w:szCs w:val="20"/>
              </w:rPr>
              <w:t>Druhý navazující projekt částečné elektrifikace MH Frýdek-Místek</w:t>
            </w:r>
          </w:p>
        </w:tc>
        <w:tc>
          <w:tcPr>
            <w:tcW w:w="3402" w:type="dxa"/>
            <w:vAlign w:val="center"/>
          </w:tcPr>
          <w:p w14:paraId="10C3A471" w14:textId="42E4AC50" w:rsidR="008F6EE5" w:rsidRPr="005E6282" w:rsidRDefault="008F6EE5" w:rsidP="005E6282">
            <w:pPr>
              <w:rPr>
                <w:rFonts w:ascii="Aptos" w:hAnsi="Aptos"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ITIOMO/3.1.1/043/IROP/04/0304</w:t>
            </w:r>
          </w:p>
        </w:tc>
        <w:tc>
          <w:tcPr>
            <w:tcW w:w="2126" w:type="dxa"/>
            <w:vAlign w:val="center"/>
          </w:tcPr>
          <w:p w14:paraId="3C8846F0" w14:textId="431F86F3" w:rsidR="008F6EE5" w:rsidRPr="005E6282" w:rsidRDefault="008F6EE5" w:rsidP="005E6282">
            <w:pPr>
              <w:rPr>
                <w:rFonts w:ascii="Aptos" w:hAnsi="Aptos"/>
                <w:sz w:val="20"/>
                <w:szCs w:val="20"/>
              </w:rPr>
            </w:pPr>
            <w:proofErr w:type="spellStart"/>
            <w:r w:rsidRPr="005E6282">
              <w:rPr>
                <w:rFonts w:ascii="Aptos" w:hAnsi="Aptos"/>
                <w:sz w:val="20"/>
                <w:szCs w:val="20"/>
              </w:rPr>
              <w:t>Transdev</w:t>
            </w:r>
            <w:proofErr w:type="spellEnd"/>
            <w:r w:rsidRPr="005E6282">
              <w:rPr>
                <w:rFonts w:ascii="Aptos" w:hAnsi="Aptos"/>
                <w:sz w:val="20"/>
                <w:szCs w:val="20"/>
              </w:rPr>
              <w:t xml:space="preserve"> Slezsko a.s.</w:t>
            </w:r>
          </w:p>
        </w:tc>
      </w:tr>
      <w:tr w:rsidR="008F6EE5" w:rsidRPr="00CE6ADD" w14:paraId="35BED07F" w14:textId="77777777" w:rsidTr="00780A77">
        <w:trPr>
          <w:trHeight w:val="554"/>
        </w:trPr>
        <w:tc>
          <w:tcPr>
            <w:tcW w:w="3823" w:type="dxa"/>
            <w:vAlign w:val="center"/>
          </w:tcPr>
          <w:p w14:paraId="3052B184" w14:textId="0037C37F" w:rsidR="008F6EE5" w:rsidRPr="005E6282" w:rsidRDefault="008F6EE5" w:rsidP="005E6282">
            <w:pPr>
              <w:rPr>
                <w:rFonts w:ascii="Aptos" w:hAnsi="Aptos"/>
                <w:sz w:val="20"/>
                <w:szCs w:val="20"/>
              </w:rPr>
            </w:pPr>
            <w:r w:rsidRPr="00930F80">
              <w:rPr>
                <w:rFonts w:ascii="Aptos" w:hAnsi="Aptos"/>
                <w:sz w:val="20"/>
                <w:szCs w:val="20"/>
              </w:rPr>
              <w:t>ITI II.- Obnova vozového parku DPO elektrobusy II.</w:t>
            </w:r>
          </w:p>
          <w:p w14:paraId="14FE9DEE" w14:textId="5BC7A42E" w:rsidR="008F6EE5" w:rsidRPr="005E6282" w:rsidRDefault="008F6EE5" w:rsidP="005E628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6FD60A6" w14:textId="59B34257" w:rsidR="008F6EE5" w:rsidRPr="005E6282" w:rsidRDefault="008F6EE5" w:rsidP="005E6282">
            <w:pPr>
              <w:rPr>
                <w:rFonts w:ascii="Aptos" w:hAnsi="Aptos"/>
                <w:sz w:val="20"/>
                <w:szCs w:val="20"/>
              </w:rPr>
            </w:pPr>
            <w:r w:rsidRPr="00930F80">
              <w:rPr>
                <w:rFonts w:ascii="Aptos" w:hAnsi="Aptos" w:cs="Calibri"/>
                <w:bCs/>
                <w:sz w:val="20"/>
                <w:szCs w:val="20"/>
              </w:rPr>
              <w:t>ITIOMO/3.1.1/043/IROP/04/0306</w:t>
            </w:r>
          </w:p>
        </w:tc>
        <w:tc>
          <w:tcPr>
            <w:tcW w:w="2126" w:type="dxa"/>
            <w:vAlign w:val="center"/>
          </w:tcPr>
          <w:p w14:paraId="417161B9" w14:textId="2AC1E870" w:rsidR="008F6EE5" w:rsidRPr="005E6282" w:rsidRDefault="008F6EE5" w:rsidP="005E6282">
            <w:pPr>
              <w:rPr>
                <w:rFonts w:ascii="Aptos" w:hAnsi="Aptos"/>
                <w:sz w:val="20"/>
                <w:szCs w:val="20"/>
              </w:rPr>
            </w:pPr>
            <w:r w:rsidRPr="005E6282">
              <w:rPr>
                <w:rFonts w:ascii="Aptos" w:hAnsi="Aptos"/>
                <w:sz w:val="20"/>
                <w:szCs w:val="20"/>
              </w:rPr>
              <w:t>Dopravní podnik a.s.</w:t>
            </w:r>
          </w:p>
        </w:tc>
      </w:tr>
    </w:tbl>
    <w:p w14:paraId="0F174C92" w14:textId="50CFE487" w:rsidR="008F6EE5" w:rsidRDefault="008F6EE5" w:rsidP="00B87CFE">
      <w:pPr>
        <w:rPr>
          <w:rFonts w:ascii="Aptos" w:hAnsi="Aptos"/>
          <w:i/>
          <w:iCs/>
          <w:sz w:val="18"/>
          <w:szCs w:val="18"/>
        </w:rPr>
      </w:pPr>
      <w:r w:rsidRPr="008F6EE5">
        <w:rPr>
          <w:rFonts w:ascii="Aptos" w:hAnsi="Aptos"/>
          <w:i/>
          <w:iCs/>
          <w:sz w:val="18"/>
          <w:szCs w:val="18"/>
        </w:rPr>
        <w:t>Zdroj: vlastní</w:t>
      </w:r>
    </w:p>
    <w:p w14:paraId="56109F7E" w14:textId="7180A335" w:rsidR="008F6EE5" w:rsidRDefault="008F6EE5" w:rsidP="008F6EE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Rozšíření seznamu strategických projektů v opatření č. 10 </w:t>
      </w:r>
      <w:r w:rsidRPr="008F6EE5">
        <w:rPr>
          <w:rFonts w:ascii="Aptos" w:hAnsi="Aptos" w:cstheme="minorHAnsi"/>
          <w:sz w:val="22"/>
          <w:szCs w:val="22"/>
          <w:shd w:val="clear" w:color="auto" w:fill="FFFFFF"/>
        </w:rPr>
        <w:t>Nízkoemisní a bezemisní vozidla pro veřejnou dopravu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je zaznamenáno v Příloze č. 4 Seznam strategických projektů PR IROP Akčního plánu Strategie. Seznam strategických projektů ve změnové verzi (z kapacitních důvodů) je přílohou č. 4 předloženého materiálu.</w:t>
      </w:r>
    </w:p>
    <w:p w14:paraId="117D260E" w14:textId="77777777" w:rsidR="008F6EE5" w:rsidRDefault="008F6EE5" w:rsidP="00333CA5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p w14:paraId="497E239C" w14:textId="77777777" w:rsidR="00F4719C" w:rsidRPr="00277F78" w:rsidRDefault="00F4719C" w:rsidP="00F4719C">
      <w:pPr>
        <w:pStyle w:val="paragraph"/>
        <w:numPr>
          <w:ilvl w:val="0"/>
          <w:numId w:val="3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i/>
          <w:iCs/>
          <w:sz w:val="22"/>
          <w:szCs w:val="22"/>
          <w:u w:val="single"/>
          <w:shd w:val="clear" w:color="auto" w:fill="FFFFFF"/>
        </w:rPr>
      </w:pPr>
      <w:r w:rsidRPr="00262B69">
        <w:rPr>
          <w:rStyle w:val="normaltextrun"/>
          <w:rFonts w:ascii="Aptos" w:hAnsi="Aptos" w:cstheme="minorHAnsi"/>
          <w:i/>
          <w:iCs/>
          <w:sz w:val="22"/>
          <w:szCs w:val="22"/>
          <w:u w:val="single"/>
          <w:shd w:val="clear" w:color="auto" w:fill="FFFFFF"/>
        </w:rPr>
        <w:t>Interní realokace mezi opatřeními PR IROP</w:t>
      </w:r>
    </w:p>
    <w:p w14:paraId="46A81F1C" w14:textId="475BB00D" w:rsidR="00277F78" w:rsidRDefault="00277F78" w:rsidP="00277F7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Pokud v opatření je malá nebo žádná absorpce, je možné navrhovat realokace mezi opatřeními </w:t>
      </w:r>
      <w:r w:rsidR="00E7552E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br/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PR IROP.</w:t>
      </w:r>
    </w:p>
    <w:p w14:paraId="009EAA0F" w14:textId="77777777" w:rsidR="004903BF" w:rsidRDefault="007C7DE0" w:rsidP="004903BF">
      <w:pPr>
        <w:pStyle w:val="paragraph"/>
        <w:spacing w:before="0" w:beforeAutospacing="0" w:after="24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Mezi jednotlivými opatření</w:t>
      </w:r>
      <w:r w:rsidR="000D142E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mi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</w:t>
      </w:r>
      <w:r w:rsidR="007E4382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bylo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možné </w:t>
      </w:r>
      <w:proofErr w:type="spellStart"/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realokovat</w:t>
      </w:r>
      <w:proofErr w:type="spellEnd"/>
      <w:r w:rsidR="00B52D6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finanční prostředky, a to buď vyvolané nositeli strategických projektů nebo </w:t>
      </w:r>
      <w:r w:rsidR="00267D3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v rámci procesu realizace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, </w:t>
      </w:r>
      <w:r w:rsidR="00267D3C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tzn. 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nejčastěji úsporami na již realizovaných projektech.</w:t>
      </w:r>
      <w:r w:rsidR="004903BF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Návrhy interních realokací musí být předem schváleny řídicím orgánem IROP.</w:t>
      </w:r>
    </w:p>
    <w:p w14:paraId="08EFEC25" w14:textId="3C35A4B8" w:rsidR="007413E7" w:rsidRPr="00D93931" w:rsidRDefault="00D93931" w:rsidP="00D93931">
      <w:pPr>
        <w:pStyle w:val="Titulek"/>
        <w:spacing w:after="0"/>
        <w:rPr>
          <w:rStyle w:val="normaltextrun"/>
          <w:rFonts w:ascii="Aptos" w:hAnsi="Aptos" w:cstheme="minorHAnsi"/>
          <w:sz w:val="20"/>
          <w:szCs w:val="20"/>
          <w:shd w:val="clear" w:color="auto" w:fill="FFFFFF"/>
        </w:rPr>
      </w:pPr>
      <w:r w:rsidRPr="00D93931">
        <w:rPr>
          <w:sz w:val="20"/>
          <w:szCs w:val="20"/>
        </w:rPr>
        <w:t xml:space="preserve">Tabulka </w:t>
      </w:r>
      <w:r w:rsidR="006134C0">
        <w:rPr>
          <w:sz w:val="20"/>
          <w:szCs w:val="20"/>
        </w:rPr>
        <w:t>5</w:t>
      </w:r>
      <w:r w:rsidRPr="00D93931">
        <w:rPr>
          <w:sz w:val="20"/>
          <w:szCs w:val="20"/>
        </w:rPr>
        <w:t xml:space="preserve"> Interní realokace opatření PR IROP</w:t>
      </w:r>
    </w:p>
    <w:tbl>
      <w:tblPr>
        <w:tblStyle w:val="Mkatabulky"/>
        <w:tblW w:w="0" w:type="auto"/>
        <w:jc w:val="right"/>
        <w:tblLook w:val="04A0" w:firstRow="1" w:lastRow="0" w:firstColumn="1" w:lastColumn="0" w:noHBand="0" w:noVBand="1"/>
      </w:tblPr>
      <w:tblGrid>
        <w:gridCol w:w="2401"/>
        <w:gridCol w:w="2442"/>
        <w:gridCol w:w="1944"/>
        <w:gridCol w:w="2539"/>
      </w:tblGrid>
      <w:tr w:rsidR="007413E7" w14:paraId="1B3437D0" w14:textId="77777777" w:rsidTr="00D93931">
        <w:trPr>
          <w:jc w:val="right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C9289C8" w14:textId="1960554F" w:rsidR="007413E7" w:rsidRPr="00D93931" w:rsidRDefault="007413E7" w:rsidP="007C7DE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Název opatření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CC654" w14:textId="2C62B130" w:rsidR="007413E7" w:rsidRPr="00D93931" w:rsidRDefault="007413E7" w:rsidP="006403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Snížení/zvýšení alokace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1143FC" w14:textId="10F5E8F3" w:rsidR="007413E7" w:rsidRPr="00D93931" w:rsidRDefault="007413E7" w:rsidP="006403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Výše příspěvku EU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69C840" w14:textId="1AB19EEF" w:rsidR="007413E7" w:rsidRPr="00D93931" w:rsidRDefault="007413E7" w:rsidP="007C7DE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b/>
                <w:bCs/>
                <w:sz w:val="20"/>
                <w:szCs w:val="20"/>
                <w:shd w:val="clear" w:color="auto" w:fill="FFFFFF"/>
              </w:rPr>
              <w:t>Důvod</w:t>
            </w:r>
          </w:p>
        </w:tc>
      </w:tr>
      <w:tr w:rsidR="007413E7" w14:paraId="2F59DA2B" w14:textId="77777777" w:rsidTr="00930F80">
        <w:trPr>
          <w:jc w:val="right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6BC1E11" w14:textId="2EB33CF0" w:rsidR="007413E7" w:rsidRPr="00D93931" w:rsidRDefault="007413E7" w:rsidP="007C7DE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Mateřské školy</w:t>
            </w:r>
          </w:p>
        </w:tc>
        <w:tc>
          <w:tcPr>
            <w:tcW w:w="24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9DA5EAC" w14:textId="5B6ADDD2" w:rsidR="007413E7" w:rsidRPr="00D93931" w:rsidRDefault="007413E7" w:rsidP="006403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snížení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96EC6ED" w14:textId="5EF5E0E1" w:rsidR="007413E7" w:rsidRPr="00D93931" w:rsidRDefault="003F719F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eastAsiaTheme="minorHAnsi" w:hAnsi="Aptos" w:cstheme="minorHAnsi"/>
                <w:color w:val="548DD4" w:themeColor="text2" w:themeTint="99"/>
                <w:sz w:val="20"/>
                <w:szCs w:val="20"/>
                <w:shd w:val="clear" w:color="auto" w:fill="FFFFFF"/>
                <w:lang w:eastAsia="en-US"/>
              </w:rPr>
            </w:pPr>
            <w:r w:rsidRPr="00D93931">
              <w:rPr>
                <w:rStyle w:val="normaltextrun"/>
                <w:rFonts w:ascii="Aptos" w:hAnsi="Aptos" w:cstheme="minorHAnsi"/>
                <w:color w:val="548DD4" w:themeColor="text2" w:themeTint="99"/>
                <w:sz w:val="20"/>
                <w:szCs w:val="20"/>
                <w:shd w:val="clear" w:color="auto" w:fill="FFFFFF"/>
              </w:rPr>
              <w:t>4 238 751,15 Kč</w:t>
            </w:r>
          </w:p>
        </w:tc>
        <w:tc>
          <w:tcPr>
            <w:tcW w:w="2547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9D22ECB" w14:textId="3F552715" w:rsidR="007413E7" w:rsidRPr="00665B88" w:rsidRDefault="003F719F" w:rsidP="0064037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</w:pPr>
            <w:r w:rsidRPr="00665B88"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  <w:t>Úspory na již realizovaných projektech.</w:t>
            </w:r>
          </w:p>
        </w:tc>
      </w:tr>
      <w:tr w:rsidR="003F719F" w14:paraId="5993EB41" w14:textId="77777777" w:rsidTr="00930F80">
        <w:trPr>
          <w:jc w:val="right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06C309A" w14:textId="7A61921A" w:rsidR="003F719F" w:rsidRPr="00D93931" w:rsidRDefault="003F719F" w:rsidP="007C7DE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Základní školy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1917C5B" w14:textId="1671CC67" w:rsidR="003F719F" w:rsidRPr="00D93931" w:rsidRDefault="003F719F" w:rsidP="006403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snížení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55C84ED" w14:textId="68B4D462" w:rsidR="003F719F" w:rsidRPr="00D93931" w:rsidRDefault="003F719F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color w:val="548DD4" w:themeColor="text2" w:themeTint="99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color w:val="548DD4" w:themeColor="text2" w:themeTint="99"/>
                <w:sz w:val="20"/>
                <w:szCs w:val="20"/>
                <w:shd w:val="clear" w:color="auto" w:fill="FFFFFF"/>
              </w:rPr>
              <w:t>16 686 330,85 Kč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9645815" w14:textId="485164E2" w:rsidR="003F719F" w:rsidRPr="00665B88" w:rsidRDefault="003F719F" w:rsidP="0064037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</w:pPr>
            <w:r w:rsidRPr="00665B88"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  <w:t>Úspory na již realizovaných projektech.</w:t>
            </w:r>
          </w:p>
        </w:tc>
      </w:tr>
      <w:tr w:rsidR="003F719F" w14:paraId="5BA84F79" w14:textId="77777777" w:rsidTr="00930F80">
        <w:trPr>
          <w:jc w:val="right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72D8BB7" w14:textId="023F52F9" w:rsidR="003F719F" w:rsidRPr="00D93931" w:rsidRDefault="003F719F" w:rsidP="007641E9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Zájmové a neformální vzdělávání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955B703" w14:textId="72203C89" w:rsidR="003F719F" w:rsidRPr="00D93931" w:rsidRDefault="003F719F" w:rsidP="006403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zvýšení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85AA52A" w14:textId="3555F47C" w:rsidR="003F719F" w:rsidRPr="00D93931" w:rsidRDefault="0064037E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548DD4" w:themeColor="text2" w:themeTint="99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b/>
                <w:bCs/>
                <w:color w:val="548DD4" w:themeColor="text2" w:themeTint="99"/>
                <w:sz w:val="20"/>
                <w:szCs w:val="20"/>
                <w:shd w:val="clear" w:color="auto" w:fill="FFFFFF"/>
              </w:rPr>
              <w:t>20 925 082,00 Kč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87F0325" w14:textId="1EB77E70" w:rsidR="003F719F" w:rsidRPr="00665B88" w:rsidRDefault="0064037E" w:rsidP="0064037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</w:pPr>
            <w:r w:rsidRPr="00665B88"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  <w:t>Zájem ze strany možných předkladatelů projektů, vyhlášená výzva nositele ITI.</w:t>
            </w:r>
          </w:p>
        </w:tc>
      </w:tr>
      <w:tr w:rsidR="0064037E" w14:paraId="2299FB98" w14:textId="77777777" w:rsidTr="00930F80">
        <w:trPr>
          <w:jc w:val="right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D5E9B7" w14:textId="25088362" w:rsidR="0064037E" w:rsidRPr="00D93931" w:rsidRDefault="0064037E" w:rsidP="007C7DE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Plnicí a </w:t>
            </w:r>
            <w:r w:rsidR="008F4C22"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dobíjecí</w:t>
            </w: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 stanice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373CA94" w14:textId="187650A7" w:rsidR="0064037E" w:rsidRPr="00D93931" w:rsidRDefault="0064037E" w:rsidP="006403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snížení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2F52FB" w14:textId="6819CE29" w:rsidR="0064037E" w:rsidRPr="00D93931" w:rsidRDefault="0064037E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color w:val="00B050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color w:val="00B050"/>
                <w:sz w:val="20"/>
                <w:szCs w:val="20"/>
                <w:shd w:val="clear" w:color="auto" w:fill="FFFFFF"/>
              </w:rPr>
              <w:t>12 123 023,51 Kč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E8F180A" w14:textId="7C2F860D" w:rsidR="0064037E" w:rsidRPr="00665B88" w:rsidRDefault="0064037E" w:rsidP="0064037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</w:pPr>
            <w:r w:rsidRPr="00665B88"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  <w:t>Nízká absorpce, nízká míra podpory (</w:t>
            </w:r>
            <w:proofErr w:type="gramStart"/>
            <w:r w:rsidRPr="00665B88"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  <w:t>35%</w:t>
            </w:r>
            <w:proofErr w:type="gramEnd"/>
            <w:r w:rsidRPr="00665B88"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  <w:t>) díky veřejné podpoře.</w:t>
            </w:r>
          </w:p>
        </w:tc>
      </w:tr>
      <w:tr w:rsidR="0064037E" w14:paraId="5362A835" w14:textId="77777777" w:rsidTr="00930F80">
        <w:trPr>
          <w:jc w:val="right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F7A4911" w14:textId="55D0193D" w:rsidR="0064037E" w:rsidRPr="00D93931" w:rsidRDefault="0064037E" w:rsidP="007C7DE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Bezpečnost dopravy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151D717" w14:textId="39B2750C" w:rsidR="0064037E" w:rsidRPr="00D93931" w:rsidRDefault="0064037E" w:rsidP="006403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snížení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BB52C87" w14:textId="6FA80636" w:rsidR="0064037E" w:rsidRPr="00D93931" w:rsidRDefault="0064037E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color w:val="00B050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color w:val="00B050"/>
                <w:sz w:val="20"/>
                <w:szCs w:val="20"/>
                <w:shd w:val="clear" w:color="auto" w:fill="FFFFFF"/>
              </w:rPr>
              <w:t>16 584 574,60 Kč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07A001A" w14:textId="68FEC2B4" w:rsidR="0064037E" w:rsidRPr="00665B88" w:rsidRDefault="0064037E" w:rsidP="0064037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</w:pPr>
            <w:r w:rsidRPr="00665B88"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  <w:t>Úspory na již realizovaných projektech, odstoupení projektu.</w:t>
            </w:r>
          </w:p>
        </w:tc>
      </w:tr>
      <w:tr w:rsidR="0064037E" w14:paraId="4DE4F4B4" w14:textId="77777777" w:rsidTr="00930F80">
        <w:trPr>
          <w:jc w:val="right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ECBD48F" w14:textId="1FD429E8" w:rsidR="0064037E" w:rsidRPr="00D93931" w:rsidRDefault="0064037E" w:rsidP="00B87CF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Vozidla</w:t>
            </w:r>
            <w:r w:rsidR="00B87CFE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 xml:space="preserve"> </w:t>
            </w: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veřejné hromadné dopravy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CA64533" w14:textId="329104DC" w:rsidR="0064037E" w:rsidRPr="00D93931" w:rsidRDefault="0064037E" w:rsidP="006403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zvýšení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1B9616F" w14:textId="45C79B9A" w:rsidR="0064037E" w:rsidRPr="00D93931" w:rsidRDefault="0064037E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00B050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b/>
                <w:bCs/>
                <w:color w:val="00B050"/>
                <w:sz w:val="20"/>
                <w:szCs w:val="20"/>
                <w:shd w:val="clear" w:color="auto" w:fill="FFFFFF"/>
              </w:rPr>
              <w:t>28 707 598,11 Kč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FDBCA19" w14:textId="006D3E17" w:rsidR="0064037E" w:rsidRPr="00665B88" w:rsidRDefault="0064037E" w:rsidP="0064037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</w:pPr>
            <w:r w:rsidRPr="00665B88"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  <w:t xml:space="preserve">Absorpce v rámci uzavřené výzvy nositele ITI. </w:t>
            </w:r>
          </w:p>
        </w:tc>
      </w:tr>
      <w:tr w:rsidR="0064037E" w14:paraId="498B080B" w14:textId="77777777" w:rsidTr="00930F80">
        <w:trPr>
          <w:jc w:val="right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DCCBC68" w14:textId="47C0C9BE" w:rsidR="0064037E" w:rsidRPr="00D93931" w:rsidRDefault="0064037E" w:rsidP="00B87CF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Turistická informační centra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2649962" w14:textId="1EECF4D7" w:rsidR="0064037E" w:rsidRPr="00D93931" w:rsidRDefault="0064037E" w:rsidP="006403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snížení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85CEF89" w14:textId="4502102E" w:rsidR="0064037E" w:rsidRPr="00D93931" w:rsidRDefault="0064037E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color w:val="7030A0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color w:val="7030A0"/>
                <w:sz w:val="20"/>
                <w:szCs w:val="20"/>
                <w:shd w:val="clear" w:color="auto" w:fill="FFFFFF"/>
              </w:rPr>
              <w:t>25 355 652,82 Kč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505E37AF" w14:textId="282CEF7E" w:rsidR="0064037E" w:rsidRPr="00665B88" w:rsidRDefault="0064037E" w:rsidP="0064037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</w:pPr>
            <w:r w:rsidRPr="00665B88"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  <w:t>Úspora na již realizovaných projektech, odstoupení projektu.</w:t>
            </w:r>
          </w:p>
        </w:tc>
      </w:tr>
      <w:tr w:rsidR="0064037E" w14:paraId="49BDA503" w14:textId="77777777" w:rsidTr="00930F80">
        <w:trPr>
          <w:jc w:val="right"/>
        </w:trPr>
        <w:tc>
          <w:tcPr>
            <w:tcW w:w="241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7DB20A" w14:textId="1F857F9F" w:rsidR="0064037E" w:rsidRPr="00D93931" w:rsidRDefault="0064037E" w:rsidP="007C7DE0">
            <w:pPr>
              <w:pStyle w:val="paragraph"/>
              <w:spacing w:before="0" w:beforeAutospacing="0" w:after="0" w:afterAutospacing="0" w:line="276" w:lineRule="auto"/>
              <w:jc w:val="both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Knihovny</w:t>
            </w:r>
          </w:p>
        </w:tc>
        <w:tc>
          <w:tcPr>
            <w:tcW w:w="24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4241D66" w14:textId="2BE8C0A1" w:rsidR="0064037E" w:rsidRPr="00D93931" w:rsidRDefault="0064037E" w:rsidP="0064037E">
            <w:pPr>
              <w:pStyle w:val="paragraph"/>
              <w:spacing w:before="0" w:beforeAutospacing="0" w:after="0" w:afterAutospacing="0" w:line="276" w:lineRule="auto"/>
              <w:jc w:val="center"/>
              <w:textAlignment w:val="baseline"/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sz w:val="20"/>
                <w:szCs w:val="20"/>
                <w:shd w:val="clear" w:color="auto" w:fill="FFFFFF"/>
              </w:rPr>
              <w:t>zvýšení</w:t>
            </w:r>
          </w:p>
        </w:tc>
        <w:tc>
          <w:tcPr>
            <w:tcW w:w="19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889DF5" w14:textId="3CE8FFFD" w:rsidR="0064037E" w:rsidRPr="00D93931" w:rsidRDefault="0064037E" w:rsidP="00930F80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b/>
                <w:bCs/>
                <w:color w:val="7030A0"/>
                <w:sz w:val="20"/>
                <w:szCs w:val="20"/>
                <w:shd w:val="clear" w:color="auto" w:fill="FFFFFF"/>
              </w:rPr>
            </w:pPr>
            <w:r w:rsidRPr="00D93931">
              <w:rPr>
                <w:rStyle w:val="normaltextrun"/>
                <w:rFonts w:ascii="Aptos" w:hAnsi="Aptos" w:cstheme="minorHAnsi"/>
                <w:b/>
                <w:bCs/>
                <w:color w:val="7030A0"/>
                <w:sz w:val="20"/>
                <w:szCs w:val="20"/>
                <w:shd w:val="clear" w:color="auto" w:fill="FFFFFF"/>
              </w:rPr>
              <w:t>25 355 652,82 Kč</w:t>
            </w:r>
          </w:p>
        </w:tc>
        <w:tc>
          <w:tcPr>
            <w:tcW w:w="2547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C2099EB" w14:textId="714D77A5" w:rsidR="0064037E" w:rsidRPr="00665B88" w:rsidRDefault="0064037E" w:rsidP="0064037E">
            <w:pPr>
              <w:pStyle w:val="paragraph"/>
              <w:spacing w:before="0" w:beforeAutospacing="0" w:after="0" w:afterAutospacing="0" w:line="276" w:lineRule="auto"/>
              <w:textAlignment w:val="baseline"/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</w:pPr>
            <w:r w:rsidRPr="00665B88">
              <w:rPr>
                <w:rStyle w:val="normaltextrun"/>
                <w:rFonts w:ascii="Aptos" w:hAnsi="Aptos" w:cstheme="minorHAnsi"/>
                <w:sz w:val="18"/>
                <w:szCs w:val="18"/>
                <w:shd w:val="clear" w:color="auto" w:fill="FFFFFF"/>
              </w:rPr>
              <w:t>Absorpce, vyhlášená výzva nositele ITI.</w:t>
            </w:r>
          </w:p>
        </w:tc>
      </w:tr>
    </w:tbl>
    <w:p w14:paraId="5E0B8D47" w14:textId="52041923" w:rsidR="007413E7" w:rsidRPr="00D93931" w:rsidRDefault="00D93931" w:rsidP="00B87CFE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i/>
          <w:iCs/>
          <w:sz w:val="18"/>
          <w:szCs w:val="18"/>
          <w:shd w:val="clear" w:color="auto" w:fill="FFFFFF"/>
        </w:rPr>
      </w:pPr>
      <w:r w:rsidRPr="00D93931">
        <w:rPr>
          <w:rStyle w:val="normaltextrun"/>
          <w:rFonts w:ascii="Aptos" w:hAnsi="Aptos" w:cstheme="minorHAnsi"/>
          <w:i/>
          <w:iCs/>
          <w:sz w:val="18"/>
          <w:szCs w:val="18"/>
          <w:shd w:val="clear" w:color="auto" w:fill="FFFFFF"/>
        </w:rPr>
        <w:t>Zdroj: vlastní</w:t>
      </w:r>
    </w:p>
    <w:p w14:paraId="1CEA8358" w14:textId="77777777" w:rsidR="00F4719C" w:rsidRDefault="00F4719C" w:rsidP="008F4C2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p w14:paraId="50447C08" w14:textId="77777777" w:rsidR="002B5E09" w:rsidRDefault="008F4C22" w:rsidP="008F4C2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Návrhy interních realokací z Tabulky </w:t>
      </w:r>
      <w:r w:rsidR="006134C0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5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jsou promítnuty v Příloze č. 1 Šablona PR IROP a Příloze </w:t>
      </w:r>
      <w:r w:rsidR="00ED21B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br/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č. 2 Finanční plán Akčního plánu Strategie</w:t>
      </w:r>
      <w:r>
        <w:rPr>
          <w:rStyle w:val="normaltextrun"/>
          <w:rFonts w:ascii="Aptos" w:hAnsi="Aptos" w:cstheme="minorHAnsi"/>
          <w:b/>
          <w:bCs/>
          <w:sz w:val="22"/>
          <w:szCs w:val="22"/>
          <w:shd w:val="clear" w:color="auto" w:fill="FFFFFF"/>
        </w:rPr>
        <w:t xml:space="preserve">. </w:t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Šablona je přílohou č. 1 předloženého materiálu </w:t>
      </w:r>
      <w:r w:rsidR="00ED21B8"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br/>
      </w: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>a Finanční plán je přílohou č. 2 předloženého materiálu, obě přílohy jsou ve změnové verzi.</w:t>
      </w:r>
    </w:p>
    <w:p w14:paraId="51EDA5E0" w14:textId="5569A0A3" w:rsidR="008F4C22" w:rsidRDefault="00DF0414" w:rsidP="008F4C22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  <w:r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  <w:t xml:space="preserve"> </w:t>
      </w:r>
    </w:p>
    <w:p w14:paraId="67103568" w14:textId="77777777" w:rsidR="006134C0" w:rsidRDefault="006134C0" w:rsidP="006A2538">
      <w:pPr>
        <w:pStyle w:val="paragraph"/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p w14:paraId="0713C9EA" w14:textId="37D6A236" w:rsidR="00856B58" w:rsidRPr="00856B58" w:rsidRDefault="00856B58" w:rsidP="00F4719C">
      <w:pPr>
        <w:pStyle w:val="paragraph"/>
        <w:numPr>
          <w:ilvl w:val="0"/>
          <w:numId w:val="39"/>
        </w:numPr>
        <w:spacing w:before="0" w:beforeAutospacing="0" w:after="0" w:afterAutospacing="0" w:line="276" w:lineRule="auto"/>
        <w:jc w:val="both"/>
        <w:textAlignment w:val="baseline"/>
        <w:rPr>
          <w:rStyle w:val="normaltextrun"/>
          <w:rFonts w:ascii="Aptos" w:hAnsi="Aptos" w:cstheme="minorHAnsi"/>
          <w:i/>
          <w:iCs/>
          <w:sz w:val="22"/>
          <w:szCs w:val="22"/>
          <w:u w:val="single"/>
          <w:shd w:val="clear" w:color="auto" w:fill="FFFFFF"/>
        </w:rPr>
      </w:pPr>
      <w:r w:rsidRPr="00856B58">
        <w:rPr>
          <w:rStyle w:val="normaltextrun"/>
          <w:rFonts w:ascii="Aptos" w:hAnsi="Aptos" w:cstheme="minorHAnsi"/>
          <w:i/>
          <w:iCs/>
          <w:sz w:val="22"/>
          <w:szCs w:val="22"/>
          <w:u w:val="single"/>
          <w:shd w:val="clear" w:color="auto" w:fill="FFFFFF"/>
        </w:rPr>
        <w:lastRenderedPageBreak/>
        <w:t>Žádosti předkladatelů o změnu projekt</w:t>
      </w:r>
      <w:r>
        <w:rPr>
          <w:rStyle w:val="normaltextrun"/>
          <w:rFonts w:ascii="Aptos" w:hAnsi="Aptos" w:cstheme="minorHAnsi"/>
          <w:i/>
          <w:iCs/>
          <w:sz w:val="22"/>
          <w:szCs w:val="22"/>
          <w:u w:val="single"/>
          <w:shd w:val="clear" w:color="auto" w:fill="FFFFFF"/>
        </w:rPr>
        <w:t>ů</w:t>
      </w:r>
      <w:r w:rsidRPr="00856B58">
        <w:rPr>
          <w:rStyle w:val="normaltextrun"/>
          <w:rFonts w:ascii="Aptos" w:hAnsi="Aptos" w:cstheme="minorHAnsi"/>
          <w:i/>
          <w:iCs/>
          <w:sz w:val="22"/>
          <w:szCs w:val="22"/>
          <w:u w:val="single"/>
          <w:shd w:val="clear" w:color="auto" w:fill="FFFFFF"/>
        </w:rPr>
        <w:t xml:space="preserve"> v PR IROP</w:t>
      </w:r>
    </w:p>
    <w:p w14:paraId="16B5FA62" w14:textId="77777777" w:rsidR="00C60EA6" w:rsidRDefault="008F4C22" w:rsidP="00C60EA6">
      <w:pPr>
        <w:pStyle w:val="Odstavecseseznamem"/>
        <w:spacing w:after="0"/>
        <w:ind w:left="0"/>
        <w:contextualSpacing w:val="0"/>
        <w:jc w:val="both"/>
        <w:rPr>
          <w:rStyle w:val="normaltextrun"/>
          <w:rFonts w:ascii="Aptos" w:hAnsi="Aptos" w:cstheme="minorHAnsi"/>
          <w:shd w:val="clear" w:color="auto" w:fill="FFFFFF"/>
        </w:rPr>
      </w:pPr>
      <w:r>
        <w:rPr>
          <w:rStyle w:val="normaltextrun"/>
          <w:rFonts w:ascii="Aptos" w:hAnsi="Aptos" w:cstheme="minorHAnsi"/>
          <w:shd w:val="clear" w:color="auto" w:fill="FFFFFF"/>
        </w:rPr>
        <w:t xml:space="preserve">Další </w:t>
      </w:r>
      <w:r w:rsidR="00856B58">
        <w:rPr>
          <w:rStyle w:val="normaltextrun"/>
          <w:rFonts w:ascii="Aptos" w:hAnsi="Aptos" w:cstheme="minorHAnsi"/>
          <w:shd w:val="clear" w:color="auto" w:fill="FFFFFF"/>
        </w:rPr>
        <w:t xml:space="preserve">možnou </w:t>
      </w:r>
      <w:r>
        <w:rPr>
          <w:rStyle w:val="normaltextrun"/>
          <w:rFonts w:ascii="Aptos" w:hAnsi="Aptos" w:cstheme="minorHAnsi"/>
          <w:shd w:val="clear" w:color="auto" w:fill="FFFFFF"/>
        </w:rPr>
        <w:t>změnou PR IROP</w:t>
      </w:r>
      <w:r w:rsidR="00A26DD0">
        <w:rPr>
          <w:rStyle w:val="normaltextrun"/>
          <w:rFonts w:ascii="Aptos" w:hAnsi="Aptos" w:cstheme="minorHAnsi"/>
          <w:shd w:val="clear" w:color="auto" w:fill="FFFFFF"/>
        </w:rPr>
        <w:t xml:space="preserve"> j</w:t>
      </w:r>
      <w:r w:rsidR="00856B58">
        <w:rPr>
          <w:rStyle w:val="normaltextrun"/>
          <w:rFonts w:ascii="Aptos" w:hAnsi="Aptos" w:cstheme="minorHAnsi"/>
          <w:shd w:val="clear" w:color="auto" w:fill="FFFFFF"/>
        </w:rPr>
        <w:t>sou podstatné změny na projektech, o které žádají předkladatelé strategických projektů.</w:t>
      </w:r>
      <w:r w:rsidR="00F4719C">
        <w:rPr>
          <w:rStyle w:val="normaltextrun"/>
          <w:rFonts w:ascii="Aptos" w:hAnsi="Aptos" w:cstheme="minorHAnsi"/>
          <w:shd w:val="clear" w:color="auto" w:fill="FFFFFF"/>
        </w:rPr>
        <w:t xml:space="preserve"> </w:t>
      </w:r>
    </w:p>
    <w:p w14:paraId="22073000" w14:textId="5264C568" w:rsidR="002E5910" w:rsidRDefault="00F4719C" w:rsidP="004F4B1D">
      <w:pPr>
        <w:pStyle w:val="Odstavecseseznamem"/>
        <w:spacing w:after="240"/>
        <w:ind w:left="0"/>
        <w:contextualSpacing w:val="0"/>
        <w:jc w:val="both"/>
        <w:rPr>
          <w:rFonts w:ascii="Aptos" w:hAnsi="Aptos" w:cs="Calibri"/>
        </w:rPr>
      </w:pPr>
      <w:r>
        <w:rPr>
          <w:rStyle w:val="normaltextrun"/>
          <w:rFonts w:ascii="Aptos" w:hAnsi="Aptos" w:cstheme="minorHAnsi"/>
          <w:shd w:val="clear" w:color="auto" w:fill="FFFFFF"/>
        </w:rPr>
        <w:t>Statutární město Opava předložilo žádost o snížení výše příspěvku</w:t>
      </w:r>
      <w:r w:rsidR="004F4B1D">
        <w:rPr>
          <w:rStyle w:val="normaltextrun"/>
          <w:rFonts w:ascii="Aptos" w:hAnsi="Aptos" w:cstheme="minorHAnsi"/>
          <w:shd w:val="clear" w:color="auto" w:fill="FFFFFF"/>
        </w:rPr>
        <w:t xml:space="preserve"> EU</w:t>
      </w:r>
      <w:r>
        <w:rPr>
          <w:rStyle w:val="normaltextrun"/>
          <w:rFonts w:ascii="Aptos" w:hAnsi="Aptos" w:cstheme="minorHAnsi"/>
          <w:shd w:val="clear" w:color="auto" w:fill="FFFFFF"/>
        </w:rPr>
        <w:t xml:space="preserve"> u strategického projektu </w:t>
      </w:r>
      <w:r w:rsidR="00ED21B8">
        <w:rPr>
          <w:rStyle w:val="normaltextrun"/>
          <w:rFonts w:ascii="Aptos" w:hAnsi="Aptos" w:cstheme="minorHAnsi"/>
          <w:shd w:val="clear" w:color="auto" w:fill="FFFFFF"/>
        </w:rPr>
        <w:br/>
      </w:r>
      <w:r w:rsidRPr="00C60EA6">
        <w:rPr>
          <w:rStyle w:val="normaltextrun"/>
          <w:rFonts w:ascii="Aptos" w:hAnsi="Aptos" w:cstheme="minorHAnsi"/>
          <w:b/>
          <w:bCs/>
          <w:shd w:val="clear" w:color="auto" w:fill="FFFFFF"/>
        </w:rPr>
        <w:t>„IBV Stromovka – vybudování modrozel</w:t>
      </w:r>
      <w:r w:rsidR="004F4B1D" w:rsidRPr="00C60EA6">
        <w:rPr>
          <w:rStyle w:val="normaltextrun"/>
          <w:rFonts w:ascii="Aptos" w:hAnsi="Aptos" w:cstheme="minorHAnsi"/>
          <w:b/>
          <w:bCs/>
          <w:shd w:val="clear" w:color="auto" w:fill="FFFFFF"/>
        </w:rPr>
        <w:t>e</w:t>
      </w:r>
      <w:r w:rsidRPr="00C60EA6">
        <w:rPr>
          <w:rStyle w:val="normaltextrun"/>
          <w:rFonts w:ascii="Aptos" w:hAnsi="Aptos" w:cstheme="minorHAnsi"/>
          <w:b/>
          <w:bCs/>
          <w:shd w:val="clear" w:color="auto" w:fill="FFFFFF"/>
        </w:rPr>
        <w:t>né infrastruktury veřejných prostranství (park)</w:t>
      </w:r>
      <w:r w:rsidR="004F4B1D" w:rsidRPr="00C60EA6">
        <w:rPr>
          <w:rStyle w:val="normaltextrun"/>
          <w:rFonts w:ascii="Aptos" w:hAnsi="Aptos" w:cstheme="minorHAnsi"/>
          <w:b/>
          <w:bCs/>
          <w:shd w:val="clear" w:color="auto" w:fill="FFFFFF"/>
        </w:rPr>
        <w:t>“</w:t>
      </w:r>
      <w:r w:rsidR="004F4B1D">
        <w:rPr>
          <w:rStyle w:val="normaltextrun"/>
          <w:rFonts w:ascii="Aptos" w:hAnsi="Aptos" w:cstheme="minorHAnsi"/>
          <w:shd w:val="clear" w:color="auto" w:fill="FFFFFF"/>
        </w:rPr>
        <w:t xml:space="preserve"> </w:t>
      </w:r>
      <w:r w:rsidR="00ED21B8">
        <w:rPr>
          <w:rStyle w:val="normaltextrun"/>
          <w:rFonts w:ascii="Aptos" w:hAnsi="Aptos" w:cstheme="minorHAnsi"/>
          <w:shd w:val="clear" w:color="auto" w:fill="FFFFFF"/>
        </w:rPr>
        <w:br/>
      </w:r>
      <w:r w:rsidR="004F4B1D">
        <w:rPr>
          <w:rStyle w:val="normaltextrun"/>
          <w:rFonts w:ascii="Aptos" w:hAnsi="Aptos" w:cstheme="minorHAnsi"/>
          <w:shd w:val="clear" w:color="auto" w:fill="FFFFFF"/>
        </w:rPr>
        <w:t xml:space="preserve">o 62 mil. Kč. </w:t>
      </w:r>
      <w:r w:rsidR="004F4B1D" w:rsidRPr="009D2B67">
        <w:rPr>
          <w:rFonts w:ascii="Aptos" w:hAnsi="Aptos" w:cs="Calibri"/>
        </w:rPr>
        <w:t>Uvolněná alokace byla zahrnuta do disponibilní alokace pro vyhodnocení výzvy nositele č. 42</w:t>
      </w:r>
      <w:r w:rsidR="004F4B1D">
        <w:rPr>
          <w:rFonts w:ascii="Aptos" w:hAnsi="Aptos" w:cs="Calibri"/>
        </w:rPr>
        <w:t xml:space="preserve"> </w:t>
      </w:r>
      <w:proofErr w:type="gramStart"/>
      <w:r w:rsidR="00E7552E">
        <w:rPr>
          <w:rStyle w:val="normaltextrun"/>
          <w:rFonts w:ascii="Aptos" w:hAnsi="Aptos" w:cstheme="minorHAnsi"/>
          <w:shd w:val="clear" w:color="auto" w:fill="FFFFFF"/>
        </w:rPr>
        <w:t>Zelená</w:t>
      </w:r>
      <w:proofErr w:type="gramEnd"/>
      <w:r w:rsidR="00E7552E">
        <w:rPr>
          <w:rStyle w:val="normaltextrun"/>
          <w:rFonts w:ascii="Aptos" w:hAnsi="Aptos" w:cstheme="minorHAnsi"/>
          <w:shd w:val="clear" w:color="auto" w:fill="FFFFFF"/>
        </w:rPr>
        <w:t xml:space="preserve"> infrastruktura veřejných prostranství II</w:t>
      </w:r>
      <w:r w:rsidR="00E7552E">
        <w:rPr>
          <w:rFonts w:ascii="Aptos" w:hAnsi="Aptos" w:cs="Calibri"/>
        </w:rPr>
        <w:t xml:space="preserve"> </w:t>
      </w:r>
      <w:r w:rsidR="004F4B1D">
        <w:rPr>
          <w:rFonts w:ascii="Aptos" w:hAnsi="Aptos" w:cs="Calibri"/>
        </w:rPr>
        <w:t>a</w:t>
      </w:r>
      <w:r w:rsidR="001F2765">
        <w:rPr>
          <w:rFonts w:ascii="Aptos" w:hAnsi="Aptos" w:cs="Calibri"/>
        </w:rPr>
        <w:t xml:space="preserve"> využita k </w:t>
      </w:r>
      <w:r w:rsidR="004F4B1D">
        <w:rPr>
          <w:rFonts w:ascii="Aptos" w:hAnsi="Aptos" w:cs="Calibri"/>
        </w:rPr>
        <w:t xml:space="preserve">rozšíření seznamu strategických projektů. </w:t>
      </w:r>
    </w:p>
    <w:p w14:paraId="06D34F5A" w14:textId="45C740E3" w:rsidR="00856B58" w:rsidRDefault="004F4B1D" w:rsidP="004F4B1D">
      <w:pPr>
        <w:pStyle w:val="Odstavecseseznamem"/>
        <w:spacing w:after="240"/>
        <w:ind w:left="0"/>
        <w:contextualSpacing w:val="0"/>
        <w:jc w:val="both"/>
        <w:rPr>
          <w:rStyle w:val="normaltextrun"/>
          <w:rFonts w:ascii="Aptos" w:hAnsi="Aptos" w:cstheme="minorHAnsi"/>
          <w:shd w:val="clear" w:color="auto" w:fill="FFFFFF"/>
        </w:rPr>
      </w:pPr>
      <w:r>
        <w:rPr>
          <w:rFonts w:ascii="Aptos" w:hAnsi="Aptos" w:cs="Calibri"/>
        </w:rPr>
        <w:t xml:space="preserve">Změna se promítla </w:t>
      </w:r>
      <w:r>
        <w:rPr>
          <w:rStyle w:val="normaltextrun"/>
          <w:rFonts w:ascii="Aptos" w:hAnsi="Aptos" w:cstheme="minorHAnsi"/>
          <w:shd w:val="clear" w:color="auto" w:fill="FFFFFF"/>
        </w:rPr>
        <w:t xml:space="preserve">v Příloze č. 4 Seznam strategických projektů PR IROP Akčního plánu Strategie. Seznam strategických projektů ve změnové verzi (z kapacitních důvodů) je přílohou </w:t>
      </w:r>
      <w:r w:rsidR="00ED21B8">
        <w:rPr>
          <w:rStyle w:val="normaltextrun"/>
          <w:rFonts w:ascii="Aptos" w:hAnsi="Aptos" w:cstheme="minorHAnsi"/>
          <w:shd w:val="clear" w:color="auto" w:fill="FFFFFF"/>
        </w:rPr>
        <w:br/>
      </w:r>
      <w:r>
        <w:rPr>
          <w:rStyle w:val="normaltextrun"/>
          <w:rFonts w:ascii="Aptos" w:hAnsi="Aptos" w:cstheme="minorHAnsi"/>
          <w:shd w:val="clear" w:color="auto" w:fill="FFFFFF"/>
        </w:rPr>
        <w:t>č. 4 předloženého materiálu.</w:t>
      </w:r>
    </w:p>
    <w:p w14:paraId="3AD7B3FB" w14:textId="77777777" w:rsidR="004F4B1D" w:rsidRDefault="004F4B1D" w:rsidP="004F4B1D">
      <w:pPr>
        <w:pStyle w:val="Odstavecseseznamem"/>
        <w:numPr>
          <w:ilvl w:val="0"/>
          <w:numId w:val="39"/>
        </w:numPr>
        <w:spacing w:after="0"/>
        <w:contextualSpacing w:val="0"/>
        <w:jc w:val="both"/>
        <w:rPr>
          <w:rStyle w:val="normaltextrun"/>
          <w:rFonts w:ascii="Aptos" w:hAnsi="Aptos" w:cs="Calibri"/>
          <w:i/>
          <w:iCs/>
          <w:u w:val="single"/>
        </w:rPr>
      </w:pPr>
      <w:r w:rsidRPr="004F4B1D">
        <w:rPr>
          <w:rStyle w:val="normaltextrun"/>
          <w:rFonts w:ascii="Aptos" w:hAnsi="Aptos" w:cs="Calibri"/>
          <w:i/>
          <w:iCs/>
          <w:u w:val="single"/>
        </w:rPr>
        <w:t>Administrativní (formální) změny v PR IROP</w:t>
      </w:r>
    </w:p>
    <w:p w14:paraId="61BE750B" w14:textId="721B9716" w:rsidR="00D93931" w:rsidRDefault="008F4C22" w:rsidP="009F5C70">
      <w:pPr>
        <w:spacing w:after="240"/>
        <w:jc w:val="both"/>
        <w:rPr>
          <w:rStyle w:val="normaltextrun"/>
          <w:rFonts w:ascii="Aptos" w:hAnsi="Aptos" w:cstheme="minorHAnsi"/>
          <w:shd w:val="clear" w:color="auto" w:fill="FFFFFF"/>
        </w:rPr>
      </w:pPr>
      <w:r w:rsidRPr="004F4B1D">
        <w:rPr>
          <w:rStyle w:val="normaltextrun"/>
          <w:rFonts w:ascii="Aptos" w:hAnsi="Aptos" w:cstheme="minorHAnsi"/>
          <w:shd w:val="clear" w:color="auto" w:fill="FFFFFF"/>
        </w:rPr>
        <w:t>Dle metodiky Řídicího orgánu IROP musí nositel ITI provádět kompletní změnu</w:t>
      </w:r>
      <w:r w:rsidR="00DD3CC1">
        <w:rPr>
          <w:rStyle w:val="normaltextrun"/>
          <w:rFonts w:ascii="Aptos" w:hAnsi="Aptos" w:cstheme="minorHAnsi"/>
          <w:shd w:val="clear" w:color="auto" w:fill="FFFFFF"/>
        </w:rPr>
        <w:t xml:space="preserve"> Seznamu strategických projektů</w:t>
      </w:r>
      <w:r w:rsidRPr="004F4B1D">
        <w:rPr>
          <w:rStyle w:val="normaltextrun"/>
          <w:rFonts w:ascii="Aptos" w:hAnsi="Aptos" w:cstheme="minorHAnsi"/>
          <w:shd w:val="clear" w:color="auto" w:fill="FFFFFF"/>
        </w:rPr>
        <w:t xml:space="preserve"> PR IROP jednou ročně, a to nejlépe hned z kraje nového kalendářního roku.</w:t>
      </w:r>
      <w:r w:rsidR="001B391E" w:rsidRPr="004F4B1D">
        <w:rPr>
          <w:rStyle w:val="normaltextrun"/>
          <w:rFonts w:ascii="Aptos" w:hAnsi="Aptos" w:cstheme="minorHAnsi"/>
          <w:shd w:val="clear" w:color="auto" w:fill="FFFFFF"/>
        </w:rPr>
        <w:t xml:space="preserve"> Do PR IROP musí být zaznamenány všechny změny</w:t>
      </w:r>
      <w:r w:rsidR="001F2765">
        <w:rPr>
          <w:rStyle w:val="normaltextrun"/>
          <w:rFonts w:ascii="Aptos" w:hAnsi="Aptos" w:cstheme="minorHAnsi"/>
          <w:shd w:val="clear" w:color="auto" w:fill="FFFFFF"/>
        </w:rPr>
        <w:t xml:space="preserve">, a to jak ty vyvolané realokacemi mezi opatřeními, tak změny související s rozšířením seznamu strategických projektů či </w:t>
      </w:r>
      <w:r w:rsidR="005B5551">
        <w:rPr>
          <w:rStyle w:val="normaltextrun"/>
          <w:rFonts w:ascii="Aptos" w:hAnsi="Aptos" w:cstheme="minorHAnsi"/>
          <w:shd w:val="clear" w:color="auto" w:fill="FFFFFF"/>
        </w:rPr>
        <w:t>podstatnými změnami na projektech</w:t>
      </w:r>
      <w:r w:rsidR="001F2765">
        <w:rPr>
          <w:rStyle w:val="normaltextrun"/>
          <w:rFonts w:ascii="Aptos" w:hAnsi="Aptos" w:cstheme="minorHAnsi"/>
          <w:shd w:val="clear" w:color="auto" w:fill="FFFFFF"/>
        </w:rPr>
        <w:t>.</w:t>
      </w:r>
      <w:r w:rsidR="001B391E" w:rsidRPr="004F4B1D">
        <w:rPr>
          <w:rStyle w:val="normaltextrun"/>
          <w:rFonts w:ascii="Aptos" w:hAnsi="Aptos" w:cstheme="minorHAnsi"/>
          <w:shd w:val="clear" w:color="auto" w:fill="FFFFFF"/>
        </w:rPr>
        <w:t xml:space="preserve"> </w:t>
      </w:r>
      <w:r w:rsidR="002E5910">
        <w:rPr>
          <w:rStyle w:val="normaltextrun"/>
          <w:rFonts w:ascii="Aptos" w:hAnsi="Aptos" w:cstheme="minorHAnsi"/>
          <w:shd w:val="clear" w:color="auto" w:fill="FFFFFF"/>
        </w:rPr>
        <w:t xml:space="preserve">Hlavním důvodem změny PR IROP je zanesení administrativních změn, tzn. </w:t>
      </w:r>
      <w:r w:rsidR="00307CE2">
        <w:rPr>
          <w:rStyle w:val="normaltextrun"/>
          <w:rFonts w:ascii="Aptos" w:hAnsi="Aptos" w:cstheme="minorHAnsi"/>
          <w:shd w:val="clear" w:color="auto" w:fill="FFFFFF"/>
        </w:rPr>
        <w:t>formální narovnání skutečnosti.</w:t>
      </w:r>
      <w:r w:rsidR="006134C0">
        <w:rPr>
          <w:rStyle w:val="normaltextrun"/>
          <w:rFonts w:ascii="Aptos" w:hAnsi="Aptos" w:cstheme="minorHAnsi"/>
          <w:shd w:val="clear" w:color="auto" w:fill="FFFFFF"/>
        </w:rPr>
        <w:t xml:space="preserve"> Zdrojem pro administrativní změny je jednak systém MS21+, v</w:t>
      </w:r>
      <w:r w:rsidR="009F5C70">
        <w:rPr>
          <w:rStyle w:val="normaltextrun"/>
          <w:rFonts w:ascii="Aptos" w:hAnsi="Aptos" w:cstheme="minorHAnsi"/>
          <w:shd w:val="clear" w:color="auto" w:fill="FFFFFF"/>
        </w:rPr>
        <w:t> </w:t>
      </w:r>
      <w:r w:rsidR="006134C0">
        <w:rPr>
          <w:rStyle w:val="normaltextrun"/>
          <w:rFonts w:ascii="Aptos" w:hAnsi="Aptos" w:cstheme="minorHAnsi"/>
          <w:shd w:val="clear" w:color="auto" w:fill="FFFFFF"/>
        </w:rPr>
        <w:t>kterém</w:t>
      </w:r>
      <w:r w:rsidR="009F5C70">
        <w:rPr>
          <w:rStyle w:val="normaltextrun"/>
          <w:rFonts w:ascii="Aptos" w:hAnsi="Aptos" w:cstheme="minorHAnsi"/>
          <w:shd w:val="clear" w:color="auto" w:fill="FFFFFF"/>
        </w:rPr>
        <w:t xml:space="preserve"> </w:t>
      </w:r>
      <w:r w:rsidR="006134C0">
        <w:rPr>
          <w:rStyle w:val="normaltextrun"/>
          <w:rFonts w:ascii="Aptos" w:hAnsi="Aptos" w:cstheme="minorHAnsi"/>
          <w:shd w:val="clear" w:color="auto" w:fill="FFFFFF"/>
        </w:rPr>
        <w:t>jsou evidovány, hodnoceny a realizovány projekty jednotlivých žadatelů vůči řídicím orgánům, a v kter</w:t>
      </w:r>
      <w:r w:rsidR="009F5C70">
        <w:rPr>
          <w:rStyle w:val="normaltextrun"/>
          <w:rFonts w:ascii="Aptos" w:hAnsi="Aptos" w:cstheme="minorHAnsi"/>
          <w:shd w:val="clear" w:color="auto" w:fill="FFFFFF"/>
        </w:rPr>
        <w:t>é</w:t>
      </w:r>
      <w:r w:rsidR="006134C0">
        <w:rPr>
          <w:rStyle w:val="normaltextrun"/>
          <w:rFonts w:ascii="Aptos" w:hAnsi="Aptos" w:cstheme="minorHAnsi"/>
          <w:shd w:val="clear" w:color="auto" w:fill="FFFFFF"/>
        </w:rPr>
        <w:t>m jsou zaznamenány aktuální informace k projektů</w:t>
      </w:r>
      <w:r w:rsidR="008C1CFC">
        <w:rPr>
          <w:rStyle w:val="normaltextrun"/>
          <w:rFonts w:ascii="Aptos" w:hAnsi="Aptos" w:cstheme="minorHAnsi"/>
          <w:shd w:val="clear" w:color="auto" w:fill="FFFFFF"/>
        </w:rPr>
        <w:t>m</w:t>
      </w:r>
      <w:r w:rsidR="006134C0">
        <w:rPr>
          <w:rStyle w:val="normaltextrun"/>
          <w:rFonts w:ascii="Aptos" w:hAnsi="Aptos" w:cstheme="minorHAnsi"/>
          <w:shd w:val="clear" w:color="auto" w:fill="FFFFFF"/>
        </w:rPr>
        <w:t xml:space="preserve">, ale i přímé oslovení nositelů projektů, které ještě nejsou ve fázi předložené žádosti. Změny se týkají hlavně narovnávání částek </w:t>
      </w:r>
      <w:r w:rsidR="005C6D4E">
        <w:rPr>
          <w:rStyle w:val="normaltextrun"/>
          <w:rFonts w:ascii="Aptos" w:hAnsi="Aptos" w:cstheme="minorHAnsi"/>
          <w:shd w:val="clear" w:color="auto" w:fill="FFFFFF"/>
        </w:rPr>
        <w:t>rozpočtu EFRR</w:t>
      </w:r>
      <w:r w:rsidR="006134C0">
        <w:rPr>
          <w:rStyle w:val="normaltextrun"/>
          <w:rFonts w:ascii="Aptos" w:hAnsi="Aptos" w:cstheme="minorHAnsi"/>
          <w:shd w:val="clear" w:color="auto" w:fill="FFFFFF"/>
        </w:rPr>
        <w:t xml:space="preserve"> (pouze ze strany řídicího orgánu nebo nositelů projektů), </w:t>
      </w:r>
      <w:r w:rsidR="005C6D4E">
        <w:rPr>
          <w:rStyle w:val="normaltextrun"/>
          <w:rFonts w:ascii="Aptos" w:hAnsi="Aptos" w:cstheme="minorHAnsi"/>
          <w:shd w:val="clear" w:color="auto" w:fill="FFFFFF"/>
        </w:rPr>
        <w:t>termín</w:t>
      </w:r>
      <w:r w:rsidR="00316445">
        <w:rPr>
          <w:rStyle w:val="normaltextrun"/>
          <w:rFonts w:ascii="Aptos" w:hAnsi="Aptos" w:cstheme="minorHAnsi"/>
          <w:shd w:val="clear" w:color="auto" w:fill="FFFFFF"/>
        </w:rPr>
        <w:t>ů</w:t>
      </w:r>
      <w:r w:rsidR="006134C0">
        <w:rPr>
          <w:rStyle w:val="normaltextrun"/>
          <w:rFonts w:ascii="Aptos" w:hAnsi="Aptos" w:cstheme="minorHAnsi"/>
          <w:shd w:val="clear" w:color="auto" w:fill="FFFFFF"/>
        </w:rPr>
        <w:t xml:space="preserve"> realizace projektů (ze strany nositelů projektů</w:t>
      </w:r>
      <w:r w:rsidR="008A08C3">
        <w:rPr>
          <w:rStyle w:val="normaltextrun"/>
          <w:rFonts w:ascii="Aptos" w:hAnsi="Aptos" w:cstheme="minorHAnsi"/>
          <w:shd w:val="clear" w:color="auto" w:fill="FFFFFF"/>
        </w:rPr>
        <w:t xml:space="preserve"> nebo data z MS21+</w:t>
      </w:r>
      <w:r w:rsidR="006134C0">
        <w:rPr>
          <w:rStyle w:val="normaltextrun"/>
          <w:rFonts w:ascii="Aptos" w:hAnsi="Aptos" w:cstheme="minorHAnsi"/>
          <w:shd w:val="clear" w:color="auto" w:fill="FFFFFF"/>
        </w:rPr>
        <w:t>)</w:t>
      </w:r>
      <w:r w:rsidR="00307CE2">
        <w:rPr>
          <w:rStyle w:val="normaltextrun"/>
          <w:rFonts w:ascii="Aptos" w:hAnsi="Aptos" w:cstheme="minorHAnsi"/>
          <w:shd w:val="clear" w:color="auto" w:fill="FFFFFF"/>
        </w:rPr>
        <w:t xml:space="preserve"> </w:t>
      </w:r>
      <w:r w:rsidR="005C6D4E">
        <w:rPr>
          <w:rStyle w:val="normaltextrun"/>
          <w:rFonts w:ascii="Aptos" w:hAnsi="Aptos" w:cstheme="minorHAnsi"/>
          <w:shd w:val="clear" w:color="auto" w:fill="FFFFFF"/>
        </w:rPr>
        <w:t>a stav</w:t>
      </w:r>
      <w:r w:rsidR="00316445">
        <w:rPr>
          <w:rStyle w:val="normaltextrun"/>
          <w:rFonts w:ascii="Aptos" w:hAnsi="Aptos" w:cstheme="minorHAnsi"/>
          <w:shd w:val="clear" w:color="auto" w:fill="FFFFFF"/>
        </w:rPr>
        <w:t>u</w:t>
      </w:r>
      <w:r w:rsidR="005C6D4E">
        <w:rPr>
          <w:rStyle w:val="normaltextrun"/>
          <w:rFonts w:ascii="Aptos" w:hAnsi="Aptos" w:cstheme="minorHAnsi"/>
          <w:shd w:val="clear" w:color="auto" w:fill="FFFFFF"/>
        </w:rPr>
        <w:t xml:space="preserve"> přípravy (aktualizuje se dle stavu přípravy v systému MS 21+ a údajů zaslaných nositeli projektů).</w:t>
      </w:r>
    </w:p>
    <w:p w14:paraId="512AF7DF" w14:textId="2E8E9C5C" w:rsidR="00307CE2" w:rsidRDefault="00307CE2" w:rsidP="00307CE2">
      <w:pPr>
        <w:pStyle w:val="Odstavecseseznamem"/>
        <w:spacing w:after="240"/>
        <w:ind w:left="0"/>
        <w:contextualSpacing w:val="0"/>
        <w:jc w:val="both"/>
        <w:rPr>
          <w:rStyle w:val="normaltextrun"/>
          <w:rFonts w:ascii="Aptos" w:hAnsi="Aptos" w:cstheme="minorHAnsi"/>
          <w:shd w:val="clear" w:color="auto" w:fill="FFFFFF"/>
        </w:rPr>
      </w:pPr>
      <w:r>
        <w:rPr>
          <w:rFonts w:ascii="Aptos" w:hAnsi="Aptos" w:cs="Calibri"/>
        </w:rPr>
        <w:t>Změn</w:t>
      </w:r>
      <w:r w:rsidR="005C6D4E">
        <w:rPr>
          <w:rFonts w:ascii="Aptos" w:hAnsi="Aptos" w:cs="Calibri"/>
        </w:rPr>
        <w:t>y</w:t>
      </w:r>
      <w:r>
        <w:rPr>
          <w:rFonts w:ascii="Aptos" w:hAnsi="Aptos" w:cs="Calibri"/>
        </w:rPr>
        <w:t xml:space="preserve"> se promítl</w:t>
      </w:r>
      <w:r w:rsidR="005C6D4E">
        <w:rPr>
          <w:rFonts w:ascii="Aptos" w:hAnsi="Aptos" w:cs="Calibri"/>
        </w:rPr>
        <w:t>y</w:t>
      </w:r>
      <w:r>
        <w:rPr>
          <w:rFonts w:ascii="Aptos" w:hAnsi="Aptos" w:cs="Calibri"/>
        </w:rPr>
        <w:t xml:space="preserve"> </w:t>
      </w:r>
      <w:r>
        <w:rPr>
          <w:rStyle w:val="normaltextrun"/>
          <w:rFonts w:ascii="Aptos" w:hAnsi="Aptos" w:cstheme="minorHAnsi"/>
          <w:shd w:val="clear" w:color="auto" w:fill="FFFFFF"/>
        </w:rPr>
        <w:t xml:space="preserve">v Příloze č. 4 Seznam strategických projektů PR IROP Akčního plánu Strategie. Seznam strategických projektů ve změnové verzi (z kapacitních důvodů) je přílohou </w:t>
      </w:r>
      <w:r w:rsidR="00E428BB">
        <w:rPr>
          <w:rStyle w:val="normaltextrun"/>
          <w:rFonts w:ascii="Aptos" w:hAnsi="Aptos" w:cstheme="minorHAnsi"/>
          <w:shd w:val="clear" w:color="auto" w:fill="FFFFFF"/>
        </w:rPr>
        <w:br/>
      </w:r>
      <w:r>
        <w:rPr>
          <w:rStyle w:val="normaltextrun"/>
          <w:rFonts w:ascii="Aptos" w:hAnsi="Aptos" w:cstheme="minorHAnsi"/>
          <w:shd w:val="clear" w:color="auto" w:fill="FFFFFF"/>
        </w:rPr>
        <w:t>č. 4 předloženého materiálu.</w:t>
      </w:r>
    </w:p>
    <w:p w14:paraId="2B86DFCF" w14:textId="0E8DFCDD" w:rsidR="000C68C8" w:rsidRDefault="000C68C8" w:rsidP="00307CE2">
      <w:pPr>
        <w:pStyle w:val="Odstavecseseznamem"/>
        <w:spacing w:after="240"/>
        <w:ind w:left="0"/>
        <w:contextualSpacing w:val="0"/>
        <w:jc w:val="both"/>
        <w:rPr>
          <w:rStyle w:val="normaltextrun"/>
          <w:rFonts w:ascii="Aptos" w:hAnsi="Aptos" w:cstheme="minorHAnsi"/>
          <w:shd w:val="clear" w:color="auto" w:fill="FFFFFF"/>
        </w:rPr>
      </w:pPr>
      <w:r>
        <w:rPr>
          <w:rStyle w:val="normaltextrun"/>
          <w:rFonts w:ascii="Aptos" w:hAnsi="Aptos" w:cstheme="minorHAnsi"/>
          <w:shd w:val="clear" w:color="auto" w:fill="FFFFFF"/>
        </w:rPr>
        <w:t>Součástí změny je i narovnání výše indikátorů, tak jak jsou do současnosti plněny, včetně zanesení předpokladu plnění do budoucna. Příloha č. 3 Indikátory ve změnové verzi je přílohou č. 3 předloženého materiálu.</w:t>
      </w:r>
    </w:p>
    <w:p w14:paraId="02AE6FF4" w14:textId="2B33740D" w:rsidR="006A2538" w:rsidRDefault="00337D7B" w:rsidP="006A2538">
      <w:pPr>
        <w:autoSpaceDE w:val="0"/>
        <w:autoSpaceDN w:val="0"/>
        <w:adjustRightInd w:val="0"/>
        <w:spacing w:after="58"/>
        <w:jc w:val="both"/>
        <w:rPr>
          <w:rStyle w:val="normaltextrun"/>
          <w:rFonts w:ascii="Aptos" w:hAnsi="Aptos" w:cs="Calibri"/>
          <w:color w:val="000000"/>
        </w:rPr>
      </w:pPr>
      <w:r>
        <w:rPr>
          <w:rStyle w:val="normaltextrun"/>
          <w:rFonts w:ascii="Aptos" w:hAnsi="Aptos" w:cs="Calibri"/>
          <w:color w:val="000000"/>
        </w:rPr>
        <w:t xml:space="preserve">Navrhovaná </w:t>
      </w:r>
      <w:r w:rsidR="00B52D60">
        <w:rPr>
          <w:rStyle w:val="normaltextrun"/>
          <w:rFonts w:ascii="Aptos" w:hAnsi="Aptos" w:cs="Calibri"/>
          <w:color w:val="000000"/>
        </w:rPr>
        <w:t xml:space="preserve">komplexní </w:t>
      </w:r>
      <w:r>
        <w:rPr>
          <w:rStyle w:val="normaltextrun"/>
          <w:rFonts w:ascii="Aptos" w:hAnsi="Aptos" w:cs="Calibri"/>
          <w:color w:val="000000"/>
        </w:rPr>
        <w:t xml:space="preserve">změna byla schválena na </w:t>
      </w:r>
      <w:r w:rsidR="00B52D60">
        <w:rPr>
          <w:rStyle w:val="normaltextrun"/>
          <w:rFonts w:ascii="Aptos" w:hAnsi="Aptos" w:cs="Calibri"/>
          <w:color w:val="000000"/>
        </w:rPr>
        <w:t>31</w:t>
      </w:r>
      <w:r>
        <w:rPr>
          <w:rStyle w:val="normaltextrun"/>
          <w:rFonts w:ascii="Aptos" w:hAnsi="Aptos" w:cs="Calibri"/>
          <w:color w:val="000000"/>
        </w:rPr>
        <w:t xml:space="preserve">. jednání ŘV Strategie, který se konal </w:t>
      </w:r>
      <w:r w:rsidR="00B52D60">
        <w:rPr>
          <w:rStyle w:val="normaltextrun"/>
          <w:rFonts w:ascii="Aptos" w:hAnsi="Aptos" w:cs="Calibri"/>
          <w:color w:val="000000"/>
        </w:rPr>
        <w:t>25</w:t>
      </w:r>
      <w:r>
        <w:rPr>
          <w:rStyle w:val="normaltextrun"/>
          <w:rFonts w:ascii="Aptos" w:hAnsi="Aptos" w:cs="Calibri"/>
          <w:color w:val="000000"/>
        </w:rPr>
        <w:t>.</w:t>
      </w:r>
      <w:r w:rsidR="00B52D60">
        <w:rPr>
          <w:rStyle w:val="normaltextrun"/>
          <w:rFonts w:ascii="Aptos" w:hAnsi="Aptos" w:cs="Calibri"/>
          <w:color w:val="000000"/>
        </w:rPr>
        <w:t>3</w:t>
      </w:r>
      <w:r>
        <w:rPr>
          <w:rStyle w:val="normaltextrun"/>
          <w:rFonts w:ascii="Aptos" w:hAnsi="Aptos" w:cs="Calibri"/>
          <w:color w:val="000000"/>
        </w:rPr>
        <w:t>.202</w:t>
      </w:r>
      <w:r w:rsidR="00B52D60">
        <w:rPr>
          <w:rStyle w:val="normaltextrun"/>
          <w:rFonts w:ascii="Aptos" w:hAnsi="Aptos" w:cs="Calibri"/>
          <w:color w:val="000000"/>
        </w:rPr>
        <w:t>6</w:t>
      </w:r>
      <w:r>
        <w:rPr>
          <w:rStyle w:val="normaltextrun"/>
          <w:rFonts w:ascii="Aptos" w:hAnsi="Aptos" w:cs="Calibri"/>
          <w:color w:val="000000"/>
        </w:rPr>
        <w:t>.</w:t>
      </w:r>
    </w:p>
    <w:p w14:paraId="051C489A" w14:textId="29325828" w:rsidR="00E35E95" w:rsidRPr="007C73EC" w:rsidRDefault="00E35E95" w:rsidP="00E35E95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b/>
          <w:bCs/>
        </w:rPr>
      </w:pPr>
      <w:r w:rsidRPr="007C73EC">
        <w:rPr>
          <w:rFonts w:ascii="Aptos" w:hAnsi="Aptos" w:cstheme="minorHAnsi"/>
          <w:b/>
          <w:bCs/>
        </w:rPr>
        <w:t xml:space="preserve">Programový rámec IROP byl zastupitelstvem schválen dne 22.2. 2023 usnesením </w:t>
      </w:r>
      <w:r w:rsidR="00E428BB">
        <w:rPr>
          <w:rFonts w:ascii="Aptos" w:hAnsi="Aptos" w:cstheme="minorHAnsi"/>
          <w:b/>
          <w:bCs/>
        </w:rPr>
        <w:br/>
      </w:r>
      <w:r w:rsidRPr="007C73EC">
        <w:rPr>
          <w:rFonts w:ascii="Aptos" w:hAnsi="Aptos" w:cstheme="minorHAnsi"/>
          <w:b/>
          <w:bCs/>
        </w:rPr>
        <w:t>č. 0156/ZM2226/5.</w:t>
      </w:r>
    </w:p>
    <w:p w14:paraId="2919F63E" w14:textId="080CE49B" w:rsidR="00E35E95" w:rsidRDefault="00E35E95" w:rsidP="00E35E95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7C73EC">
        <w:rPr>
          <w:rFonts w:ascii="Aptos" w:hAnsi="Aptos" w:cstheme="minorHAnsi"/>
        </w:rPr>
        <w:t>Programový rámec IROP byl schválen řídícím orgánem (Ministerstvo pro místní rozvoj ČR) dne 29.5.2023.</w:t>
      </w:r>
    </w:p>
    <w:p w14:paraId="677FA067" w14:textId="77777777" w:rsidR="006A2538" w:rsidRDefault="006A2538" w:rsidP="00E35E95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</w:p>
    <w:p w14:paraId="1FDEAAF7" w14:textId="36298EDA" w:rsidR="00FA23E9" w:rsidRPr="00307CE2" w:rsidRDefault="00307CE2" w:rsidP="00E35E95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b/>
          <w:bCs/>
        </w:rPr>
      </w:pPr>
      <w:r w:rsidRPr="00307CE2">
        <w:rPr>
          <w:rFonts w:ascii="Aptos" w:hAnsi="Aptos" w:cstheme="minorHAnsi"/>
          <w:b/>
          <w:bCs/>
        </w:rPr>
        <w:t>Změna PR OPD</w:t>
      </w:r>
    </w:p>
    <w:p w14:paraId="2F85FB6A" w14:textId="69279084" w:rsidR="00307CE2" w:rsidRDefault="008A08C3" w:rsidP="00E35E95">
      <w:pPr>
        <w:autoSpaceDE w:val="0"/>
        <w:autoSpaceDN w:val="0"/>
        <w:adjustRightInd w:val="0"/>
        <w:spacing w:after="0"/>
        <w:jc w:val="both"/>
        <w:rPr>
          <w:rFonts w:ascii="Aptos" w:eastAsia="Calibri" w:hAnsi="Aptos"/>
        </w:rPr>
      </w:pPr>
      <w:r>
        <w:rPr>
          <w:rFonts w:ascii="Aptos" w:hAnsi="Aptos" w:cstheme="minorHAnsi"/>
        </w:rPr>
        <w:t>Dne</w:t>
      </w:r>
      <w:r w:rsidR="00307CE2">
        <w:rPr>
          <w:rFonts w:ascii="Aptos" w:hAnsi="Aptos" w:cstheme="minorHAnsi"/>
        </w:rPr>
        <w:t xml:space="preserve"> 28.11.2025 byl uzavřen příjem záměrů do seznamu strategických projektů. Do výzvy</w:t>
      </w:r>
      <w:r w:rsidR="008C1CFC">
        <w:rPr>
          <w:rFonts w:ascii="Aptos" w:hAnsi="Aptos" w:cstheme="minorHAnsi"/>
        </w:rPr>
        <w:t xml:space="preserve"> </w:t>
      </w:r>
      <w:r w:rsidR="00E428BB">
        <w:rPr>
          <w:rFonts w:ascii="Aptos" w:hAnsi="Aptos" w:cstheme="minorHAnsi"/>
        </w:rPr>
        <w:br/>
      </w:r>
      <w:r w:rsidR="008C1CFC">
        <w:rPr>
          <w:rFonts w:ascii="Aptos" w:hAnsi="Aptos" w:cstheme="minorHAnsi"/>
        </w:rPr>
        <w:t>č. 41 Tramvajové a trolejbusové tratě II.</w:t>
      </w:r>
      <w:r w:rsidR="00307CE2">
        <w:rPr>
          <w:rFonts w:ascii="Aptos" w:hAnsi="Aptos" w:cstheme="minorHAnsi"/>
        </w:rPr>
        <w:t xml:space="preserve"> byl předložen záměr na prodloužení trolejbusové trati ve Slezské Ostravě </w:t>
      </w:r>
      <w:r w:rsidR="00307CE2" w:rsidRPr="00307CE2">
        <w:rPr>
          <w:rFonts w:ascii="Aptos" w:hAnsi="Aptos" w:cstheme="minorHAnsi"/>
        </w:rPr>
        <w:t>„</w:t>
      </w:r>
      <w:r w:rsidR="00307CE2" w:rsidRPr="00307CE2">
        <w:rPr>
          <w:rFonts w:ascii="Aptos" w:eastAsia="Calibri" w:hAnsi="Aptos"/>
          <w:i/>
          <w:iCs/>
        </w:rPr>
        <w:t>ITI II – Trolejbusová trať Dědičná – Michálkovická, Ostrava</w:t>
      </w:r>
      <w:r w:rsidR="00307CE2" w:rsidRPr="00307CE2">
        <w:rPr>
          <w:rFonts w:ascii="Aptos" w:eastAsia="Calibri" w:hAnsi="Aptos"/>
        </w:rPr>
        <w:t>“, předkladatele Dopravní podnik a.s. Z tohoto důvodu bude předložen návrh změny programového rámce</w:t>
      </w:r>
      <w:r w:rsidR="00307CE2">
        <w:rPr>
          <w:rFonts w:ascii="Aptos" w:eastAsia="Calibri" w:hAnsi="Aptos"/>
        </w:rPr>
        <w:t xml:space="preserve"> OPD</w:t>
      </w:r>
      <w:r w:rsidR="00307CE2" w:rsidRPr="00307CE2">
        <w:rPr>
          <w:rFonts w:ascii="Aptos" w:eastAsia="Calibri" w:hAnsi="Aptos"/>
        </w:rPr>
        <w:t xml:space="preserve"> řídicímu</w:t>
      </w:r>
      <w:r w:rsidR="005C6D4E">
        <w:rPr>
          <w:rFonts w:ascii="Aptos" w:eastAsia="Calibri" w:hAnsi="Aptos"/>
        </w:rPr>
        <w:t xml:space="preserve"> orgánu</w:t>
      </w:r>
      <w:r w:rsidR="00307CE2" w:rsidRPr="00307CE2">
        <w:rPr>
          <w:rFonts w:ascii="Aptos" w:eastAsia="Calibri" w:hAnsi="Aptos"/>
        </w:rPr>
        <w:t>.</w:t>
      </w:r>
    </w:p>
    <w:p w14:paraId="641C4ACF" w14:textId="61F28284" w:rsidR="00307CE2" w:rsidRDefault="00307CE2" w:rsidP="00E35E95">
      <w:pPr>
        <w:autoSpaceDE w:val="0"/>
        <w:autoSpaceDN w:val="0"/>
        <w:adjustRightInd w:val="0"/>
        <w:spacing w:after="0"/>
        <w:jc w:val="both"/>
        <w:rPr>
          <w:rFonts w:ascii="Aptos" w:eastAsia="Calibri" w:hAnsi="Aptos"/>
        </w:rPr>
      </w:pPr>
      <w:r w:rsidRPr="00307CE2">
        <w:rPr>
          <w:rFonts w:ascii="Aptos" w:eastAsia="Calibri" w:hAnsi="Aptos"/>
        </w:rPr>
        <w:t xml:space="preserve"> </w:t>
      </w:r>
    </w:p>
    <w:p w14:paraId="713DCE87" w14:textId="5FFA3769" w:rsidR="00307CE2" w:rsidRDefault="00307CE2" w:rsidP="00307CE2">
      <w:pPr>
        <w:pStyle w:val="Odstavecseseznamem"/>
        <w:spacing w:after="240"/>
        <w:ind w:left="0"/>
        <w:contextualSpacing w:val="0"/>
        <w:jc w:val="both"/>
        <w:rPr>
          <w:rStyle w:val="normaltextrun"/>
          <w:rFonts w:ascii="Aptos" w:hAnsi="Aptos" w:cstheme="minorHAnsi"/>
          <w:shd w:val="clear" w:color="auto" w:fill="FFFFFF"/>
        </w:rPr>
      </w:pPr>
      <w:r>
        <w:rPr>
          <w:rFonts w:ascii="Aptos" w:hAnsi="Aptos" w:cs="Calibri"/>
        </w:rPr>
        <w:lastRenderedPageBreak/>
        <w:t xml:space="preserve">Změna se promítla </w:t>
      </w:r>
      <w:r>
        <w:rPr>
          <w:rStyle w:val="normaltextrun"/>
          <w:rFonts w:ascii="Aptos" w:hAnsi="Aptos" w:cstheme="minorHAnsi"/>
          <w:shd w:val="clear" w:color="auto" w:fill="FFFFFF"/>
        </w:rPr>
        <w:t>do Seznamu strategických projektů PR OPD Akčního plánu Strategie. Seznam strategických projektů ve změnové verzi (z kapacitních důvodů) je přílohou č. 5 předloženého materiálu.</w:t>
      </w:r>
    </w:p>
    <w:p w14:paraId="44956DA5" w14:textId="75167E7E" w:rsidR="00503AEE" w:rsidRPr="005077B2" w:rsidRDefault="00BF0BCB" w:rsidP="005077B2">
      <w:pPr>
        <w:pStyle w:val="Odstavecseseznamem"/>
        <w:spacing w:after="240"/>
        <w:ind w:left="0"/>
        <w:contextualSpacing w:val="0"/>
        <w:jc w:val="both"/>
        <w:rPr>
          <w:rStyle w:val="normaltextrun"/>
          <w:rFonts w:ascii="Aptos" w:hAnsi="Aptos" w:cstheme="minorHAnsi"/>
          <w:shd w:val="clear" w:color="auto" w:fill="FFFFFF"/>
        </w:rPr>
      </w:pPr>
      <w:r>
        <w:rPr>
          <w:rStyle w:val="normaltextrun"/>
          <w:rFonts w:ascii="Aptos" w:hAnsi="Aptos" w:cstheme="minorHAnsi"/>
          <w:shd w:val="clear" w:color="auto" w:fill="FFFFFF"/>
        </w:rPr>
        <w:t>I v PR OPD se zaznamenávají administrativní změny, data se získávají stejným způsobem jako v případě PR IROP.</w:t>
      </w:r>
      <w:r w:rsidR="005077B2">
        <w:rPr>
          <w:rStyle w:val="normaltextrun"/>
          <w:rFonts w:ascii="Aptos" w:hAnsi="Aptos" w:cstheme="minorHAnsi"/>
          <w:shd w:val="clear" w:color="auto" w:fill="FFFFFF"/>
        </w:rPr>
        <w:t xml:space="preserve"> </w:t>
      </w:r>
      <w:r w:rsidR="005C6D4E">
        <w:rPr>
          <w:rFonts w:ascii="Aptos" w:hAnsi="Aptos" w:cstheme="minorHAnsi"/>
        </w:rPr>
        <w:t>Navrhovaná změn</w:t>
      </w:r>
      <w:r w:rsidR="008C1CFC">
        <w:rPr>
          <w:rFonts w:ascii="Aptos" w:hAnsi="Aptos" w:cstheme="minorHAnsi"/>
        </w:rPr>
        <w:t>a</w:t>
      </w:r>
      <w:r w:rsidR="005C6D4E">
        <w:rPr>
          <w:rFonts w:ascii="Aptos" w:hAnsi="Aptos" w:cstheme="minorHAnsi"/>
        </w:rPr>
        <w:t xml:space="preserve"> byla schválena </w:t>
      </w:r>
      <w:r w:rsidR="008C1CFC">
        <w:rPr>
          <w:rFonts w:ascii="Aptos" w:hAnsi="Aptos" w:cstheme="minorHAnsi"/>
        </w:rPr>
        <w:t>v</w:t>
      </w:r>
      <w:r w:rsidR="00081962">
        <w:rPr>
          <w:rFonts w:ascii="Aptos" w:hAnsi="Aptos" w:cstheme="minorHAnsi"/>
        </w:rPr>
        <w:t> 30.</w:t>
      </w:r>
      <w:r w:rsidR="008C1CFC">
        <w:rPr>
          <w:rFonts w:ascii="Aptos" w:hAnsi="Aptos" w:cstheme="minorHAnsi"/>
        </w:rPr>
        <w:t> korespondenčním jednání</w:t>
      </w:r>
      <w:r w:rsidR="00081962">
        <w:rPr>
          <w:rFonts w:ascii="Aptos" w:hAnsi="Aptos" w:cstheme="minorHAnsi"/>
        </w:rPr>
        <w:t xml:space="preserve"> </w:t>
      </w:r>
      <w:r w:rsidR="00081962">
        <w:rPr>
          <w:rStyle w:val="normaltextrun"/>
          <w:rFonts w:ascii="Aptos" w:hAnsi="Aptos" w:cs="Calibri"/>
          <w:color w:val="000000"/>
        </w:rPr>
        <w:t>ŘV Strategie</w:t>
      </w:r>
      <w:r w:rsidR="00081962">
        <w:rPr>
          <w:rFonts w:ascii="Aptos" w:hAnsi="Aptos" w:cstheme="minorHAnsi"/>
        </w:rPr>
        <w:t xml:space="preserve"> ve dnech 21. – 28.1.2026</w:t>
      </w:r>
      <w:r w:rsidR="005C6D4E">
        <w:rPr>
          <w:rStyle w:val="normaltextrun"/>
          <w:rFonts w:ascii="Aptos" w:hAnsi="Aptos" w:cs="Calibri"/>
          <w:color w:val="000000"/>
        </w:rPr>
        <w:t xml:space="preserve">. </w:t>
      </w:r>
    </w:p>
    <w:p w14:paraId="7C58A660" w14:textId="50299CE4" w:rsidR="005C6D4E" w:rsidRPr="007C73EC" w:rsidRDefault="005C6D4E" w:rsidP="005C6D4E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  <w:b/>
          <w:bCs/>
        </w:rPr>
      </w:pPr>
      <w:r w:rsidRPr="007C73EC">
        <w:rPr>
          <w:rFonts w:ascii="Aptos" w:hAnsi="Aptos" w:cstheme="minorHAnsi"/>
          <w:b/>
          <w:bCs/>
        </w:rPr>
        <w:t xml:space="preserve">Programový rámec </w:t>
      </w:r>
      <w:r>
        <w:rPr>
          <w:rFonts w:ascii="Aptos" w:hAnsi="Aptos" w:cstheme="minorHAnsi"/>
          <w:b/>
          <w:bCs/>
        </w:rPr>
        <w:t>OPD</w:t>
      </w:r>
      <w:r w:rsidRPr="007C73EC">
        <w:rPr>
          <w:rFonts w:ascii="Aptos" w:hAnsi="Aptos" w:cstheme="minorHAnsi"/>
          <w:b/>
          <w:bCs/>
        </w:rPr>
        <w:t xml:space="preserve"> byl zastupitelstvem schválen dne </w:t>
      </w:r>
      <w:r>
        <w:rPr>
          <w:rFonts w:ascii="Aptos" w:hAnsi="Aptos" w:cstheme="minorHAnsi"/>
          <w:b/>
          <w:bCs/>
        </w:rPr>
        <w:t>30</w:t>
      </w:r>
      <w:r w:rsidRPr="007C73EC">
        <w:rPr>
          <w:rFonts w:ascii="Aptos" w:hAnsi="Aptos" w:cstheme="minorHAnsi"/>
          <w:b/>
          <w:bCs/>
        </w:rPr>
        <w:t>.</w:t>
      </w:r>
      <w:r>
        <w:rPr>
          <w:rFonts w:ascii="Aptos" w:hAnsi="Aptos" w:cstheme="minorHAnsi"/>
          <w:b/>
          <w:bCs/>
        </w:rPr>
        <w:t>8</w:t>
      </w:r>
      <w:r w:rsidRPr="007C73EC">
        <w:rPr>
          <w:rFonts w:ascii="Aptos" w:hAnsi="Aptos" w:cstheme="minorHAnsi"/>
          <w:b/>
          <w:bCs/>
        </w:rPr>
        <w:t>. 202</w:t>
      </w:r>
      <w:r>
        <w:rPr>
          <w:rFonts w:ascii="Aptos" w:hAnsi="Aptos" w:cstheme="minorHAnsi"/>
          <w:b/>
          <w:bCs/>
        </w:rPr>
        <w:t>2</w:t>
      </w:r>
      <w:r w:rsidRPr="007C73EC">
        <w:rPr>
          <w:rFonts w:ascii="Aptos" w:hAnsi="Aptos" w:cstheme="minorHAnsi"/>
          <w:b/>
          <w:bCs/>
        </w:rPr>
        <w:t xml:space="preserve"> usnesením </w:t>
      </w:r>
      <w:r w:rsidR="00E428BB">
        <w:rPr>
          <w:rFonts w:ascii="Aptos" w:hAnsi="Aptos" w:cstheme="minorHAnsi"/>
          <w:b/>
          <w:bCs/>
        </w:rPr>
        <w:br/>
      </w:r>
      <w:r w:rsidRPr="007C73EC">
        <w:rPr>
          <w:rFonts w:ascii="Aptos" w:hAnsi="Aptos" w:cstheme="minorHAnsi"/>
          <w:b/>
          <w:bCs/>
        </w:rPr>
        <w:t xml:space="preserve">č. </w:t>
      </w:r>
      <w:r w:rsidRPr="005C6D4E">
        <w:rPr>
          <w:rFonts w:ascii="Aptos" w:hAnsi="Aptos" w:cstheme="minorHAnsi"/>
          <w:b/>
          <w:bCs/>
        </w:rPr>
        <w:t>10252/RM1822/159</w:t>
      </w:r>
      <w:r w:rsidRPr="007C73EC">
        <w:rPr>
          <w:rFonts w:ascii="Aptos" w:hAnsi="Aptos" w:cstheme="minorHAnsi"/>
          <w:b/>
          <w:bCs/>
        </w:rPr>
        <w:t>.</w:t>
      </w:r>
    </w:p>
    <w:p w14:paraId="6FF3A29D" w14:textId="58F3E4D9" w:rsidR="005C6D4E" w:rsidRDefault="005C6D4E" w:rsidP="005C6D4E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 w:rsidRPr="007C73EC">
        <w:rPr>
          <w:rFonts w:ascii="Aptos" w:hAnsi="Aptos" w:cstheme="minorHAnsi"/>
        </w:rPr>
        <w:t xml:space="preserve">Programový rámec </w:t>
      </w:r>
      <w:r>
        <w:rPr>
          <w:rFonts w:ascii="Aptos" w:hAnsi="Aptos" w:cstheme="minorHAnsi"/>
        </w:rPr>
        <w:t>OPD</w:t>
      </w:r>
      <w:r w:rsidRPr="007C73EC">
        <w:rPr>
          <w:rFonts w:ascii="Aptos" w:hAnsi="Aptos" w:cstheme="minorHAnsi"/>
        </w:rPr>
        <w:t xml:space="preserve"> byl schválen řídícím orgánem (Ministerstvo pro místní rozvoj ČR) </w:t>
      </w:r>
      <w:r>
        <w:rPr>
          <w:rFonts w:ascii="Aptos" w:hAnsi="Aptos" w:cstheme="minorHAnsi"/>
        </w:rPr>
        <w:t>v únoru</w:t>
      </w:r>
      <w:r w:rsidRPr="007C73EC">
        <w:rPr>
          <w:rFonts w:ascii="Aptos" w:hAnsi="Aptos" w:cstheme="minorHAnsi"/>
        </w:rPr>
        <w:t xml:space="preserve"> 2023.</w:t>
      </w:r>
    </w:p>
    <w:p w14:paraId="175889EB" w14:textId="77777777" w:rsidR="00BF0BCB" w:rsidRDefault="00BF0BCB" w:rsidP="005C6D4E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</w:p>
    <w:p w14:paraId="0324B08C" w14:textId="0C31E684" w:rsidR="00BF0BCB" w:rsidRDefault="00BF0BCB" w:rsidP="00316445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  <w:r>
        <w:rPr>
          <w:rFonts w:ascii="Aptos" w:hAnsi="Aptos" w:cstheme="minorHAnsi"/>
        </w:rPr>
        <w:t>Vzhledem k tomu, že administrativní změny se odehrávají kontinuálně a mezi jednotlivými jednáními ŘV, RM a ZM je minimálně 2 měsíce odstup (z důvodu dodržování termínů pro předkládání materiál</w:t>
      </w:r>
      <w:r w:rsidR="00503AEE">
        <w:rPr>
          <w:rFonts w:ascii="Aptos" w:hAnsi="Aptos" w:cstheme="minorHAnsi"/>
        </w:rPr>
        <w:t>ů</w:t>
      </w:r>
      <w:r>
        <w:rPr>
          <w:rFonts w:ascii="Aptos" w:hAnsi="Aptos" w:cstheme="minorHAnsi"/>
        </w:rPr>
        <w:t xml:space="preserve">) mohou probíhat změny i v tomto období. Pro maximální flexibilitu v předkládání aktuální změny programových rámců a vzhledem k povaze změn je předložen návrh k přenesení kompetencí provádění administrativních (zpravidla formálního charakteru) změn </w:t>
      </w:r>
      <w:r w:rsidR="00851904">
        <w:rPr>
          <w:rFonts w:ascii="Aptos" w:hAnsi="Aptos" w:cstheme="minorHAnsi"/>
        </w:rPr>
        <w:t xml:space="preserve">na </w:t>
      </w:r>
      <w:r>
        <w:rPr>
          <w:rFonts w:ascii="Aptos" w:hAnsi="Aptos" w:cstheme="minorHAnsi"/>
        </w:rPr>
        <w:t>manažer</w:t>
      </w:r>
      <w:r w:rsidR="00851904">
        <w:rPr>
          <w:rFonts w:ascii="Aptos" w:hAnsi="Aptos" w:cstheme="minorHAnsi"/>
        </w:rPr>
        <w:t>a</w:t>
      </w:r>
      <w:r>
        <w:rPr>
          <w:rFonts w:ascii="Aptos" w:hAnsi="Aptos" w:cstheme="minorHAnsi"/>
        </w:rPr>
        <w:t xml:space="preserve"> ITI, tzn. zanesení aktuálního stavu</w:t>
      </w:r>
      <w:r w:rsidR="00851904">
        <w:rPr>
          <w:rFonts w:ascii="Aptos" w:hAnsi="Aptos" w:cstheme="minorHAnsi"/>
        </w:rPr>
        <w:t xml:space="preserve"> před podáním změny do systému MS21+.</w:t>
      </w:r>
    </w:p>
    <w:p w14:paraId="6FACA226" w14:textId="77777777" w:rsidR="00192C91" w:rsidRDefault="00192C91" w:rsidP="00316445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</w:p>
    <w:p w14:paraId="7BD261E0" w14:textId="7282401C" w:rsidR="005D6F6E" w:rsidRDefault="001358D9" w:rsidP="00316445">
      <w:pPr>
        <w:spacing w:after="0"/>
        <w:jc w:val="both"/>
        <w:rPr>
          <w:rFonts w:ascii="Aptos" w:hAnsi="Aptos"/>
        </w:rPr>
      </w:pPr>
      <w:r w:rsidRPr="00CC7DEA">
        <w:rPr>
          <w:rFonts w:ascii="Aptos" w:hAnsi="Aptos"/>
        </w:rPr>
        <w:t>V současném programovém období EU 2021-2027 máme v</w:t>
      </w:r>
      <w:r>
        <w:rPr>
          <w:rFonts w:ascii="Aptos" w:hAnsi="Aptos"/>
        </w:rPr>
        <w:t> </w:t>
      </w:r>
      <w:r w:rsidRPr="00CC7DEA">
        <w:rPr>
          <w:rFonts w:ascii="Aptos" w:hAnsi="Aptos"/>
        </w:rPr>
        <w:t>rámci</w:t>
      </w:r>
      <w:r>
        <w:rPr>
          <w:rFonts w:ascii="Aptos" w:hAnsi="Aptos"/>
        </w:rPr>
        <w:t xml:space="preserve"> nástroje</w:t>
      </w:r>
      <w:r w:rsidRPr="00CC7DEA">
        <w:rPr>
          <w:rFonts w:ascii="Aptos" w:hAnsi="Aptos"/>
        </w:rPr>
        <w:t xml:space="preserve"> ITI příspěvek </w:t>
      </w:r>
      <w:r w:rsidR="00316445">
        <w:rPr>
          <w:rFonts w:ascii="Aptos" w:hAnsi="Aptos"/>
        </w:rPr>
        <w:br/>
      </w:r>
      <w:r w:rsidRPr="00CC7DEA">
        <w:rPr>
          <w:rFonts w:ascii="Aptos" w:hAnsi="Aptos"/>
        </w:rPr>
        <w:t xml:space="preserve">EU 7,7 mld. Kč v pěti </w:t>
      </w:r>
      <w:r w:rsidR="0005500D">
        <w:rPr>
          <w:rFonts w:ascii="Aptos" w:hAnsi="Aptos"/>
        </w:rPr>
        <w:t>o</w:t>
      </w:r>
      <w:r>
        <w:rPr>
          <w:rFonts w:ascii="Aptos" w:hAnsi="Aptos"/>
        </w:rPr>
        <w:t>peračních programech</w:t>
      </w:r>
      <w:r w:rsidRPr="00CC7DEA">
        <w:rPr>
          <w:rFonts w:ascii="Aptos" w:hAnsi="Aptos"/>
        </w:rPr>
        <w:t xml:space="preserve">. </w:t>
      </w:r>
      <w:r>
        <w:rPr>
          <w:rFonts w:ascii="Aptos" w:hAnsi="Aptos"/>
        </w:rPr>
        <w:t>V současnosti</w:t>
      </w:r>
      <w:r w:rsidRPr="00CC7DEA">
        <w:rPr>
          <w:rFonts w:ascii="Aptos" w:hAnsi="Aptos"/>
        </w:rPr>
        <w:t xml:space="preserve"> </w:t>
      </w:r>
      <w:r>
        <w:rPr>
          <w:rFonts w:ascii="Aptos" w:hAnsi="Aptos"/>
        </w:rPr>
        <w:t>j</w:t>
      </w:r>
      <w:r w:rsidRPr="00CC7DEA">
        <w:rPr>
          <w:rFonts w:ascii="Aptos" w:hAnsi="Aptos"/>
        </w:rPr>
        <w:t>e do systému ISKP registrov</w:t>
      </w:r>
      <w:r>
        <w:rPr>
          <w:rFonts w:ascii="Aptos" w:hAnsi="Aptos"/>
        </w:rPr>
        <w:t>áno</w:t>
      </w:r>
      <w:r w:rsidRPr="00CC7DEA">
        <w:rPr>
          <w:rFonts w:ascii="Aptos" w:hAnsi="Aptos"/>
        </w:rPr>
        <w:t xml:space="preserve"> </w:t>
      </w:r>
      <w:r w:rsidR="00E71F24" w:rsidRPr="00CC7DEA">
        <w:rPr>
          <w:rFonts w:ascii="Aptos" w:hAnsi="Aptos"/>
        </w:rPr>
        <w:t>1</w:t>
      </w:r>
      <w:r w:rsidR="00E71F24">
        <w:rPr>
          <w:rFonts w:ascii="Aptos" w:hAnsi="Aptos"/>
        </w:rPr>
        <w:t>92</w:t>
      </w:r>
      <w:r w:rsidR="00E71F24" w:rsidRPr="00CC7DEA">
        <w:rPr>
          <w:rFonts w:ascii="Aptos" w:hAnsi="Aptos"/>
        </w:rPr>
        <w:t xml:space="preserve"> </w:t>
      </w:r>
      <w:r w:rsidRPr="00CC7DEA">
        <w:rPr>
          <w:rFonts w:ascii="Aptos" w:hAnsi="Aptos"/>
        </w:rPr>
        <w:t xml:space="preserve">projektů s požadovanou podporou EU ve výši </w:t>
      </w:r>
      <w:r w:rsidR="00E71F24">
        <w:rPr>
          <w:rFonts w:ascii="Aptos" w:hAnsi="Aptos"/>
        </w:rPr>
        <w:t>4</w:t>
      </w:r>
      <w:r>
        <w:rPr>
          <w:rFonts w:ascii="Aptos" w:hAnsi="Aptos"/>
        </w:rPr>
        <w:t>,2</w:t>
      </w:r>
      <w:r w:rsidRPr="00CC7DEA">
        <w:rPr>
          <w:rFonts w:ascii="Aptos" w:hAnsi="Aptos"/>
        </w:rPr>
        <w:t xml:space="preserve"> mld. Kč. </w:t>
      </w:r>
    </w:p>
    <w:p w14:paraId="16B265FE" w14:textId="09E270CE" w:rsidR="005467B3" w:rsidRDefault="001358D9" w:rsidP="00316445">
      <w:pPr>
        <w:spacing w:after="0"/>
        <w:jc w:val="both"/>
        <w:rPr>
          <w:rFonts w:ascii="Aptos" w:hAnsi="Aptos"/>
        </w:rPr>
      </w:pPr>
      <w:r w:rsidRPr="008F2925">
        <w:rPr>
          <w:rFonts w:ascii="Aptos" w:hAnsi="Aptos"/>
        </w:rPr>
        <w:t>Projektů Ostravy je registrováno 3</w:t>
      </w:r>
      <w:r w:rsidR="005D6F6E">
        <w:rPr>
          <w:rFonts w:ascii="Aptos" w:hAnsi="Aptos"/>
        </w:rPr>
        <w:t>9</w:t>
      </w:r>
      <w:r w:rsidRPr="008F2925">
        <w:rPr>
          <w:rFonts w:ascii="Aptos" w:hAnsi="Aptos"/>
        </w:rPr>
        <w:t xml:space="preserve"> </w:t>
      </w:r>
      <w:r w:rsidR="0005500D">
        <w:rPr>
          <w:rFonts w:ascii="Aptos" w:hAnsi="Aptos"/>
        </w:rPr>
        <w:t>v celkovém objemu</w:t>
      </w:r>
      <w:r w:rsidR="00E71F24">
        <w:rPr>
          <w:rFonts w:ascii="Aptos" w:hAnsi="Aptos"/>
        </w:rPr>
        <w:t xml:space="preserve"> podpory EU</w:t>
      </w:r>
      <w:r w:rsidR="0005500D" w:rsidRPr="008F2925">
        <w:rPr>
          <w:rFonts w:ascii="Aptos" w:hAnsi="Aptos"/>
        </w:rPr>
        <w:t xml:space="preserve"> </w:t>
      </w:r>
      <w:r w:rsidRPr="008F2925">
        <w:rPr>
          <w:rFonts w:ascii="Aptos" w:hAnsi="Aptos"/>
        </w:rPr>
        <w:t>1,</w:t>
      </w:r>
      <w:r w:rsidR="005D6F6E">
        <w:rPr>
          <w:rFonts w:ascii="Aptos" w:hAnsi="Aptos"/>
        </w:rPr>
        <w:t>624</w:t>
      </w:r>
      <w:r w:rsidRPr="008F2925">
        <w:rPr>
          <w:rFonts w:ascii="Aptos" w:hAnsi="Aptos"/>
        </w:rPr>
        <w:t xml:space="preserve"> mld. Kč. </w:t>
      </w:r>
      <w:r w:rsidR="005D6F6E">
        <w:rPr>
          <w:rFonts w:ascii="Aptos" w:hAnsi="Aptos"/>
        </w:rPr>
        <w:t>F</w:t>
      </w:r>
      <w:r>
        <w:rPr>
          <w:rFonts w:ascii="Aptos" w:hAnsi="Aptos"/>
        </w:rPr>
        <w:t>yzicky nebo finančně ukončen</w:t>
      </w:r>
      <w:r w:rsidR="005D6F6E">
        <w:rPr>
          <w:rFonts w:ascii="Aptos" w:hAnsi="Aptos"/>
        </w:rPr>
        <w:t>ých</w:t>
      </w:r>
      <w:r>
        <w:rPr>
          <w:rFonts w:ascii="Aptos" w:hAnsi="Aptos"/>
        </w:rPr>
        <w:t xml:space="preserve"> </w:t>
      </w:r>
      <w:r w:rsidR="005D6F6E">
        <w:rPr>
          <w:rFonts w:ascii="Aptos" w:hAnsi="Aptos"/>
        </w:rPr>
        <w:t xml:space="preserve">projektů je 14 </w:t>
      </w:r>
      <w:r>
        <w:rPr>
          <w:rFonts w:ascii="Aptos" w:hAnsi="Aptos"/>
        </w:rPr>
        <w:t>s výši podpory</w:t>
      </w:r>
      <w:r w:rsidR="005D6F6E">
        <w:rPr>
          <w:rFonts w:ascii="Aptos" w:hAnsi="Aptos"/>
        </w:rPr>
        <w:t xml:space="preserve"> </w:t>
      </w:r>
      <w:r>
        <w:rPr>
          <w:rFonts w:ascii="Aptos" w:hAnsi="Aptos"/>
        </w:rPr>
        <w:t xml:space="preserve">z EU </w:t>
      </w:r>
      <w:r w:rsidR="005D6F6E">
        <w:rPr>
          <w:rFonts w:ascii="Aptos" w:hAnsi="Aptos"/>
        </w:rPr>
        <w:t>383</w:t>
      </w:r>
      <w:r>
        <w:rPr>
          <w:rFonts w:ascii="Aptos" w:hAnsi="Aptos"/>
        </w:rPr>
        <w:t xml:space="preserve"> mil. Kč. V realizaci je</w:t>
      </w:r>
      <w:r w:rsidR="005D6F6E">
        <w:rPr>
          <w:rFonts w:ascii="Aptos" w:hAnsi="Aptos"/>
        </w:rPr>
        <w:t xml:space="preserve"> 1</w:t>
      </w:r>
      <w:r>
        <w:rPr>
          <w:rFonts w:ascii="Aptos" w:hAnsi="Aptos"/>
        </w:rPr>
        <w:t xml:space="preserve">6 projektů s požadovanou podporou EU ve výši </w:t>
      </w:r>
      <w:r w:rsidR="005467B3">
        <w:rPr>
          <w:rFonts w:ascii="Aptos" w:hAnsi="Aptos"/>
        </w:rPr>
        <w:t>847</w:t>
      </w:r>
      <w:r>
        <w:rPr>
          <w:rFonts w:ascii="Aptos" w:hAnsi="Aptos"/>
        </w:rPr>
        <w:t xml:space="preserve"> mil. Kč. Další</w:t>
      </w:r>
      <w:r w:rsidR="005467B3">
        <w:rPr>
          <w:rFonts w:ascii="Aptos" w:hAnsi="Aptos"/>
        </w:rPr>
        <w:t>ch 9</w:t>
      </w:r>
      <w:r>
        <w:rPr>
          <w:rFonts w:ascii="Aptos" w:hAnsi="Aptos"/>
        </w:rPr>
        <w:t xml:space="preserve"> projekt</w:t>
      </w:r>
      <w:r w:rsidR="005467B3">
        <w:rPr>
          <w:rFonts w:ascii="Aptos" w:hAnsi="Aptos"/>
        </w:rPr>
        <w:t>ů</w:t>
      </w:r>
      <w:r>
        <w:rPr>
          <w:rFonts w:ascii="Aptos" w:hAnsi="Aptos"/>
        </w:rPr>
        <w:t xml:space="preserve"> j</w:t>
      </w:r>
      <w:r w:rsidR="005467B3">
        <w:rPr>
          <w:rFonts w:ascii="Aptos" w:hAnsi="Aptos"/>
        </w:rPr>
        <w:t>e</w:t>
      </w:r>
      <w:r>
        <w:rPr>
          <w:rFonts w:ascii="Aptos" w:hAnsi="Aptos"/>
        </w:rPr>
        <w:t xml:space="preserve"> v</w:t>
      </w:r>
      <w:r w:rsidR="005467B3">
        <w:rPr>
          <w:rFonts w:ascii="Aptos" w:hAnsi="Aptos"/>
        </w:rPr>
        <w:t> </w:t>
      </w:r>
      <w:r>
        <w:rPr>
          <w:rFonts w:ascii="Aptos" w:hAnsi="Aptos"/>
        </w:rPr>
        <w:t>hodnocení</w:t>
      </w:r>
      <w:r w:rsidR="005467B3">
        <w:rPr>
          <w:rFonts w:ascii="Aptos" w:hAnsi="Aptos"/>
        </w:rPr>
        <w:t xml:space="preserve"> za požadovanou částku</w:t>
      </w:r>
      <w:r w:rsidR="00E71F24">
        <w:rPr>
          <w:rFonts w:ascii="Aptos" w:hAnsi="Aptos"/>
        </w:rPr>
        <w:t xml:space="preserve"> podpory</w:t>
      </w:r>
      <w:r w:rsidR="005467B3">
        <w:rPr>
          <w:rFonts w:ascii="Aptos" w:hAnsi="Aptos"/>
        </w:rPr>
        <w:t xml:space="preserve"> EU 394 mil. Kč.</w:t>
      </w:r>
      <w:r>
        <w:rPr>
          <w:rFonts w:ascii="Aptos" w:hAnsi="Aptos"/>
        </w:rPr>
        <w:t xml:space="preserve"> </w:t>
      </w:r>
      <w:r w:rsidR="005467B3">
        <w:rPr>
          <w:rFonts w:ascii="Aptos" w:hAnsi="Aptos"/>
        </w:rPr>
        <w:t>Některé projekty se stále</w:t>
      </w:r>
      <w:r>
        <w:rPr>
          <w:rFonts w:ascii="Aptos" w:hAnsi="Aptos"/>
        </w:rPr>
        <w:t xml:space="preserve"> připravují pro podání do systému ISKP21+. </w:t>
      </w:r>
    </w:p>
    <w:p w14:paraId="1FE7291C" w14:textId="119EDDDF" w:rsidR="001358D9" w:rsidRPr="008F2925" w:rsidRDefault="001358D9" w:rsidP="00316445">
      <w:pPr>
        <w:spacing w:after="120"/>
        <w:jc w:val="both"/>
      </w:pPr>
      <w:r w:rsidRPr="008F2925">
        <w:rPr>
          <w:rFonts w:ascii="Aptos" w:hAnsi="Aptos"/>
        </w:rPr>
        <w:t xml:space="preserve">Spadají sem projekty statutárního města Ostravy i jeho městských obvodů a různých městských organizací. </w:t>
      </w:r>
      <w:r>
        <w:rPr>
          <w:rFonts w:ascii="Aptos" w:hAnsi="Aptos"/>
        </w:rPr>
        <w:t xml:space="preserve">Počty projektů a výše podpory EU se v čase mění. </w:t>
      </w:r>
    </w:p>
    <w:p w14:paraId="3D40EE6F" w14:textId="77777777" w:rsidR="006A2538" w:rsidRPr="007C73EC" w:rsidRDefault="006A2538" w:rsidP="00E35E95">
      <w:pPr>
        <w:autoSpaceDE w:val="0"/>
        <w:autoSpaceDN w:val="0"/>
        <w:adjustRightInd w:val="0"/>
        <w:spacing w:after="0"/>
        <w:jc w:val="both"/>
        <w:rPr>
          <w:rFonts w:ascii="Aptos" w:hAnsi="Aptos" w:cstheme="minorHAnsi"/>
        </w:rPr>
      </w:pPr>
    </w:p>
    <w:p w14:paraId="198863B2" w14:textId="2B648821" w:rsidR="007B3F77" w:rsidRPr="007C73EC" w:rsidRDefault="007B3F77" w:rsidP="006A2538">
      <w:pPr>
        <w:pStyle w:val="paragraph"/>
        <w:spacing w:before="0" w:beforeAutospacing="0" w:after="0" w:line="276" w:lineRule="auto"/>
        <w:jc w:val="both"/>
        <w:textAlignment w:val="baseline"/>
        <w:rPr>
          <w:rStyle w:val="normaltextrun"/>
          <w:rFonts w:ascii="Aptos" w:hAnsi="Aptos" w:cstheme="minorHAnsi"/>
          <w:sz w:val="22"/>
          <w:szCs w:val="22"/>
          <w:shd w:val="clear" w:color="auto" w:fill="FFFFFF"/>
        </w:rPr>
      </w:pPr>
    </w:p>
    <w:sectPr w:rsidR="007B3F77" w:rsidRPr="007C73EC" w:rsidSect="00FE0C82">
      <w:type w:val="continuous"/>
      <w:pgSz w:w="11906" w:h="16838"/>
      <w:pgMar w:top="851" w:right="1274" w:bottom="568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1D458" w14:textId="77777777" w:rsidR="00596912" w:rsidRDefault="00596912" w:rsidP="00B45140">
      <w:pPr>
        <w:spacing w:after="0" w:line="240" w:lineRule="auto"/>
      </w:pPr>
      <w:r>
        <w:separator/>
      </w:r>
    </w:p>
  </w:endnote>
  <w:endnote w:type="continuationSeparator" w:id="0">
    <w:p w14:paraId="28D318DB" w14:textId="77777777" w:rsidR="00596912" w:rsidRDefault="00596912" w:rsidP="00B451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43EFA" w14:textId="77777777" w:rsidR="00596912" w:rsidRDefault="00596912" w:rsidP="00B45140">
      <w:pPr>
        <w:spacing w:after="0" w:line="240" w:lineRule="auto"/>
      </w:pPr>
      <w:r>
        <w:separator/>
      </w:r>
    </w:p>
  </w:footnote>
  <w:footnote w:type="continuationSeparator" w:id="0">
    <w:p w14:paraId="4389750F" w14:textId="77777777" w:rsidR="00596912" w:rsidRDefault="00596912" w:rsidP="00B451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CE5EB07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708AA"/>
    <w:multiLevelType w:val="hybridMultilevel"/>
    <w:tmpl w:val="4468C2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7545C"/>
    <w:multiLevelType w:val="hybridMultilevel"/>
    <w:tmpl w:val="E8AA72C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98AD7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D407FA0"/>
    <w:multiLevelType w:val="hybridMultilevel"/>
    <w:tmpl w:val="0C82365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4521FD"/>
    <w:multiLevelType w:val="hybridMultilevel"/>
    <w:tmpl w:val="0CD25A4E"/>
    <w:lvl w:ilvl="0" w:tplc="970E72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44AAA"/>
    <w:multiLevelType w:val="hybridMultilevel"/>
    <w:tmpl w:val="3C0280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ED74A0"/>
    <w:multiLevelType w:val="hybridMultilevel"/>
    <w:tmpl w:val="BE927F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878E2C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2292E7B"/>
    <w:multiLevelType w:val="hybridMultilevel"/>
    <w:tmpl w:val="543CF45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672A33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BE0677"/>
    <w:multiLevelType w:val="hybridMultilevel"/>
    <w:tmpl w:val="1FFEABFE"/>
    <w:lvl w:ilvl="0" w:tplc="59A2284A">
      <w:start w:val="30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5014846"/>
    <w:multiLevelType w:val="hybridMultilevel"/>
    <w:tmpl w:val="BFC8F8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4B1CF2"/>
    <w:multiLevelType w:val="hybridMultilevel"/>
    <w:tmpl w:val="B37400FA"/>
    <w:lvl w:ilvl="0" w:tplc="ECCAA70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290D0B0D"/>
    <w:multiLevelType w:val="hybridMultilevel"/>
    <w:tmpl w:val="5532E8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3109C6"/>
    <w:multiLevelType w:val="hybridMultilevel"/>
    <w:tmpl w:val="2C6459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DB4886"/>
    <w:multiLevelType w:val="hybridMultilevel"/>
    <w:tmpl w:val="160C46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4D2232"/>
    <w:multiLevelType w:val="hybridMultilevel"/>
    <w:tmpl w:val="1EAE61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5F4DD1"/>
    <w:multiLevelType w:val="hybridMultilevel"/>
    <w:tmpl w:val="33861198"/>
    <w:lvl w:ilvl="0" w:tplc="0405000F">
      <w:start w:val="1"/>
      <w:numFmt w:val="decimal"/>
      <w:lvlText w:val="%1."/>
      <w:lvlJc w:val="left"/>
      <w:pPr>
        <w:ind w:left="770" w:hanging="360"/>
      </w:pPr>
    </w:lvl>
    <w:lvl w:ilvl="1" w:tplc="04050019" w:tentative="1">
      <w:start w:val="1"/>
      <w:numFmt w:val="lowerLetter"/>
      <w:lvlText w:val="%2."/>
      <w:lvlJc w:val="left"/>
      <w:pPr>
        <w:ind w:left="1490" w:hanging="360"/>
      </w:pPr>
    </w:lvl>
    <w:lvl w:ilvl="2" w:tplc="0405001B" w:tentative="1">
      <w:start w:val="1"/>
      <w:numFmt w:val="lowerRoman"/>
      <w:lvlText w:val="%3."/>
      <w:lvlJc w:val="right"/>
      <w:pPr>
        <w:ind w:left="2210" w:hanging="180"/>
      </w:pPr>
    </w:lvl>
    <w:lvl w:ilvl="3" w:tplc="0405000F" w:tentative="1">
      <w:start w:val="1"/>
      <w:numFmt w:val="decimal"/>
      <w:lvlText w:val="%4."/>
      <w:lvlJc w:val="left"/>
      <w:pPr>
        <w:ind w:left="2930" w:hanging="360"/>
      </w:pPr>
    </w:lvl>
    <w:lvl w:ilvl="4" w:tplc="04050019" w:tentative="1">
      <w:start w:val="1"/>
      <w:numFmt w:val="lowerLetter"/>
      <w:lvlText w:val="%5."/>
      <w:lvlJc w:val="left"/>
      <w:pPr>
        <w:ind w:left="3650" w:hanging="360"/>
      </w:pPr>
    </w:lvl>
    <w:lvl w:ilvl="5" w:tplc="0405001B" w:tentative="1">
      <w:start w:val="1"/>
      <w:numFmt w:val="lowerRoman"/>
      <w:lvlText w:val="%6."/>
      <w:lvlJc w:val="right"/>
      <w:pPr>
        <w:ind w:left="4370" w:hanging="180"/>
      </w:pPr>
    </w:lvl>
    <w:lvl w:ilvl="6" w:tplc="0405000F" w:tentative="1">
      <w:start w:val="1"/>
      <w:numFmt w:val="decimal"/>
      <w:lvlText w:val="%7."/>
      <w:lvlJc w:val="left"/>
      <w:pPr>
        <w:ind w:left="5090" w:hanging="360"/>
      </w:pPr>
    </w:lvl>
    <w:lvl w:ilvl="7" w:tplc="04050019" w:tentative="1">
      <w:start w:val="1"/>
      <w:numFmt w:val="lowerLetter"/>
      <w:lvlText w:val="%8."/>
      <w:lvlJc w:val="left"/>
      <w:pPr>
        <w:ind w:left="5810" w:hanging="360"/>
      </w:pPr>
    </w:lvl>
    <w:lvl w:ilvl="8" w:tplc="040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8" w15:restartNumberingAfterBreak="0">
    <w:nsid w:val="34C93D71"/>
    <w:multiLevelType w:val="hybridMultilevel"/>
    <w:tmpl w:val="41B089E2"/>
    <w:lvl w:ilvl="0" w:tplc="135E5AC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AE03B9"/>
    <w:multiLevelType w:val="hybridMultilevel"/>
    <w:tmpl w:val="F82653BC"/>
    <w:lvl w:ilvl="0" w:tplc="4BB02042">
      <w:numFmt w:val="bullet"/>
      <w:lvlText w:val="-"/>
      <w:lvlJc w:val="left"/>
      <w:pPr>
        <w:ind w:left="1776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0" w15:restartNumberingAfterBreak="0">
    <w:nsid w:val="47037F21"/>
    <w:multiLevelType w:val="hybridMultilevel"/>
    <w:tmpl w:val="4E3E14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F53075"/>
    <w:multiLevelType w:val="hybridMultilevel"/>
    <w:tmpl w:val="A8E003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D27011"/>
    <w:multiLevelType w:val="hybridMultilevel"/>
    <w:tmpl w:val="6E007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173AD1"/>
    <w:multiLevelType w:val="hybridMultilevel"/>
    <w:tmpl w:val="A2E0ED64"/>
    <w:lvl w:ilvl="0" w:tplc="AFE0B0A8">
      <w:start w:val="4"/>
      <w:numFmt w:val="bullet"/>
      <w:lvlText w:val=""/>
      <w:lvlJc w:val="left"/>
      <w:pPr>
        <w:ind w:left="1080" w:hanging="360"/>
      </w:pPr>
      <w:rPr>
        <w:rFonts w:ascii="Wingdings" w:eastAsiaTheme="minorHAnsi" w:hAnsi="Wingdings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8295C5A"/>
    <w:multiLevelType w:val="hybridMultilevel"/>
    <w:tmpl w:val="73E0B6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EF6223"/>
    <w:multiLevelType w:val="hybridMultilevel"/>
    <w:tmpl w:val="47E6AF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D52EC1"/>
    <w:multiLevelType w:val="hybridMultilevel"/>
    <w:tmpl w:val="E3889864"/>
    <w:lvl w:ilvl="0" w:tplc="4BB02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610C1A"/>
    <w:multiLevelType w:val="hybridMultilevel"/>
    <w:tmpl w:val="E7C4F4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A114BE"/>
    <w:multiLevelType w:val="hybridMultilevel"/>
    <w:tmpl w:val="567AE154"/>
    <w:lvl w:ilvl="0" w:tplc="CD6C205C">
      <w:start w:val="1"/>
      <w:numFmt w:val="decimal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FF1057"/>
    <w:multiLevelType w:val="hybridMultilevel"/>
    <w:tmpl w:val="23E2FFD4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6149A7"/>
    <w:multiLevelType w:val="hybridMultilevel"/>
    <w:tmpl w:val="B82044D6"/>
    <w:lvl w:ilvl="0" w:tplc="15C6BD3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E45E32"/>
    <w:multiLevelType w:val="hybridMultilevel"/>
    <w:tmpl w:val="603AFB9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0FF2E74"/>
    <w:multiLevelType w:val="hybridMultilevel"/>
    <w:tmpl w:val="888CEA8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0F0D83"/>
    <w:multiLevelType w:val="hybridMultilevel"/>
    <w:tmpl w:val="21FC038A"/>
    <w:lvl w:ilvl="0" w:tplc="4DB6991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516E92"/>
    <w:multiLevelType w:val="hybridMultilevel"/>
    <w:tmpl w:val="6E007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DD3269"/>
    <w:multiLevelType w:val="hybridMultilevel"/>
    <w:tmpl w:val="4796BF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0D599B"/>
    <w:multiLevelType w:val="hybridMultilevel"/>
    <w:tmpl w:val="1EBA4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D9A3E5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8" w15:restartNumberingAfterBreak="0">
    <w:nsid w:val="790D434C"/>
    <w:multiLevelType w:val="hybridMultilevel"/>
    <w:tmpl w:val="0EC86BDC"/>
    <w:lvl w:ilvl="0" w:tplc="718C86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BF07D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30098550">
    <w:abstractNumId w:val="27"/>
  </w:num>
  <w:num w:numId="2" w16cid:durableId="725760526">
    <w:abstractNumId w:val="7"/>
  </w:num>
  <w:num w:numId="3" w16cid:durableId="151720218">
    <w:abstractNumId w:val="20"/>
  </w:num>
  <w:num w:numId="4" w16cid:durableId="1292175856">
    <w:abstractNumId w:val="20"/>
  </w:num>
  <w:num w:numId="5" w16cid:durableId="863592489">
    <w:abstractNumId w:val="13"/>
  </w:num>
  <w:num w:numId="6" w16cid:durableId="100344223">
    <w:abstractNumId w:val="5"/>
  </w:num>
  <w:num w:numId="7" w16cid:durableId="1565141850">
    <w:abstractNumId w:val="5"/>
  </w:num>
  <w:num w:numId="8" w16cid:durableId="1722828621">
    <w:abstractNumId w:val="9"/>
  </w:num>
  <w:num w:numId="9" w16cid:durableId="37319352">
    <w:abstractNumId w:val="25"/>
  </w:num>
  <w:num w:numId="10" w16cid:durableId="484509855">
    <w:abstractNumId w:val="30"/>
  </w:num>
  <w:num w:numId="11" w16cid:durableId="579604267">
    <w:abstractNumId w:val="38"/>
  </w:num>
  <w:num w:numId="12" w16cid:durableId="336421888">
    <w:abstractNumId w:val="26"/>
  </w:num>
  <w:num w:numId="13" w16cid:durableId="925069790">
    <w:abstractNumId w:val="14"/>
  </w:num>
  <w:num w:numId="14" w16cid:durableId="154303949">
    <w:abstractNumId w:val="10"/>
  </w:num>
  <w:num w:numId="15" w16cid:durableId="1320843446">
    <w:abstractNumId w:val="19"/>
  </w:num>
  <w:num w:numId="16" w16cid:durableId="1425960527">
    <w:abstractNumId w:val="11"/>
  </w:num>
  <w:num w:numId="17" w16cid:durableId="2051565139">
    <w:abstractNumId w:val="28"/>
  </w:num>
  <w:num w:numId="18" w16cid:durableId="319582775">
    <w:abstractNumId w:val="12"/>
  </w:num>
  <w:num w:numId="19" w16cid:durableId="1719278995">
    <w:abstractNumId w:val="23"/>
  </w:num>
  <w:num w:numId="20" w16cid:durableId="748230991">
    <w:abstractNumId w:val="31"/>
  </w:num>
  <w:num w:numId="21" w16cid:durableId="1311713682">
    <w:abstractNumId w:val="29"/>
  </w:num>
  <w:num w:numId="22" w16cid:durableId="544220387">
    <w:abstractNumId w:val="24"/>
  </w:num>
  <w:num w:numId="23" w16cid:durableId="259223946">
    <w:abstractNumId w:val="6"/>
  </w:num>
  <w:num w:numId="24" w16cid:durableId="761801411">
    <w:abstractNumId w:val="17"/>
  </w:num>
  <w:num w:numId="25" w16cid:durableId="1025785009">
    <w:abstractNumId w:val="4"/>
  </w:num>
  <w:num w:numId="26" w16cid:durableId="1319574108">
    <w:abstractNumId w:val="1"/>
  </w:num>
  <w:num w:numId="27" w16cid:durableId="915626533">
    <w:abstractNumId w:val="2"/>
  </w:num>
  <w:num w:numId="28" w16cid:durableId="2108689157">
    <w:abstractNumId w:val="35"/>
  </w:num>
  <w:num w:numId="29" w16cid:durableId="2080008294">
    <w:abstractNumId w:val="32"/>
  </w:num>
  <w:num w:numId="30" w16cid:durableId="1837115518">
    <w:abstractNumId w:val="16"/>
  </w:num>
  <w:num w:numId="31" w16cid:durableId="1911697311">
    <w:abstractNumId w:val="8"/>
  </w:num>
  <w:num w:numId="32" w16cid:durableId="1122308748">
    <w:abstractNumId w:val="3"/>
  </w:num>
  <w:num w:numId="33" w16cid:durableId="1950161956">
    <w:abstractNumId w:val="18"/>
  </w:num>
  <w:num w:numId="34" w16cid:durableId="1179779790">
    <w:abstractNumId w:val="21"/>
  </w:num>
  <w:num w:numId="35" w16cid:durableId="1259563971">
    <w:abstractNumId w:val="36"/>
  </w:num>
  <w:num w:numId="36" w16cid:durableId="1781338190">
    <w:abstractNumId w:val="15"/>
  </w:num>
  <w:num w:numId="37" w16cid:durableId="1019937674">
    <w:abstractNumId w:val="34"/>
  </w:num>
  <w:num w:numId="38" w16cid:durableId="325018367">
    <w:abstractNumId w:val="22"/>
  </w:num>
  <w:num w:numId="39" w16cid:durableId="705525300">
    <w:abstractNumId w:val="33"/>
  </w:num>
  <w:num w:numId="40" w16cid:durableId="678388735">
    <w:abstractNumId w:val="0"/>
  </w:num>
  <w:num w:numId="41" w16cid:durableId="261764870">
    <w:abstractNumId w:val="37"/>
  </w:num>
  <w:num w:numId="42" w16cid:durableId="209905797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CC"/>
    <w:rsid w:val="00000760"/>
    <w:rsid w:val="00001DB7"/>
    <w:rsid w:val="00004F28"/>
    <w:rsid w:val="0001408F"/>
    <w:rsid w:val="000145B2"/>
    <w:rsid w:val="00015590"/>
    <w:rsid w:val="00021D67"/>
    <w:rsid w:val="00021E27"/>
    <w:rsid w:val="00024157"/>
    <w:rsid w:val="00027D7F"/>
    <w:rsid w:val="000303DA"/>
    <w:rsid w:val="00030F4D"/>
    <w:rsid w:val="000327B7"/>
    <w:rsid w:val="00033F20"/>
    <w:rsid w:val="000415C0"/>
    <w:rsid w:val="00041EBA"/>
    <w:rsid w:val="00045A11"/>
    <w:rsid w:val="00052E29"/>
    <w:rsid w:val="0005500D"/>
    <w:rsid w:val="000573B0"/>
    <w:rsid w:val="00062BD6"/>
    <w:rsid w:val="00063430"/>
    <w:rsid w:val="00081962"/>
    <w:rsid w:val="0008275B"/>
    <w:rsid w:val="000928B5"/>
    <w:rsid w:val="000A55AB"/>
    <w:rsid w:val="000A67F6"/>
    <w:rsid w:val="000B3E57"/>
    <w:rsid w:val="000C5EB2"/>
    <w:rsid w:val="000C68C8"/>
    <w:rsid w:val="000D10B5"/>
    <w:rsid w:val="000D142E"/>
    <w:rsid w:val="000D2759"/>
    <w:rsid w:val="000D3F6F"/>
    <w:rsid w:val="000D6DC4"/>
    <w:rsid w:val="000E0870"/>
    <w:rsid w:val="000E0A34"/>
    <w:rsid w:val="000E1833"/>
    <w:rsid w:val="000E4999"/>
    <w:rsid w:val="000E541F"/>
    <w:rsid w:val="000F053F"/>
    <w:rsid w:val="000F0782"/>
    <w:rsid w:val="000F0EE3"/>
    <w:rsid w:val="000F4BE1"/>
    <w:rsid w:val="000F605A"/>
    <w:rsid w:val="00111ABB"/>
    <w:rsid w:val="00112394"/>
    <w:rsid w:val="001128F3"/>
    <w:rsid w:val="001137C9"/>
    <w:rsid w:val="00123A9F"/>
    <w:rsid w:val="00123FFC"/>
    <w:rsid w:val="00124694"/>
    <w:rsid w:val="00126AC0"/>
    <w:rsid w:val="001358D9"/>
    <w:rsid w:val="0013754D"/>
    <w:rsid w:val="0014352C"/>
    <w:rsid w:val="001506A6"/>
    <w:rsid w:val="001533DB"/>
    <w:rsid w:val="00153BD7"/>
    <w:rsid w:val="001549DE"/>
    <w:rsid w:val="00156AB4"/>
    <w:rsid w:val="00162B7B"/>
    <w:rsid w:val="00166C55"/>
    <w:rsid w:val="00181CCA"/>
    <w:rsid w:val="00184395"/>
    <w:rsid w:val="00186CF9"/>
    <w:rsid w:val="00191458"/>
    <w:rsid w:val="00191A8A"/>
    <w:rsid w:val="00192C91"/>
    <w:rsid w:val="001A278E"/>
    <w:rsid w:val="001A2ED0"/>
    <w:rsid w:val="001A5F5A"/>
    <w:rsid w:val="001B2482"/>
    <w:rsid w:val="001B391E"/>
    <w:rsid w:val="001B3CEF"/>
    <w:rsid w:val="001B694F"/>
    <w:rsid w:val="001B6995"/>
    <w:rsid w:val="001B7D55"/>
    <w:rsid w:val="001C0AAA"/>
    <w:rsid w:val="001C3E5E"/>
    <w:rsid w:val="001C5DCA"/>
    <w:rsid w:val="001D0C92"/>
    <w:rsid w:val="001D2AE3"/>
    <w:rsid w:val="001D375F"/>
    <w:rsid w:val="001D3CEB"/>
    <w:rsid w:val="001D5258"/>
    <w:rsid w:val="001E0032"/>
    <w:rsid w:val="001E1BE7"/>
    <w:rsid w:val="001E7601"/>
    <w:rsid w:val="001F0F15"/>
    <w:rsid w:val="001F1164"/>
    <w:rsid w:val="001F2765"/>
    <w:rsid w:val="001F2BC3"/>
    <w:rsid w:val="001F4EC1"/>
    <w:rsid w:val="0020137F"/>
    <w:rsid w:val="00204864"/>
    <w:rsid w:val="002057EB"/>
    <w:rsid w:val="0020584F"/>
    <w:rsid w:val="0021313D"/>
    <w:rsid w:val="002139C7"/>
    <w:rsid w:val="00213EDC"/>
    <w:rsid w:val="002156B8"/>
    <w:rsid w:val="002158FE"/>
    <w:rsid w:val="00217A87"/>
    <w:rsid w:val="00224D8F"/>
    <w:rsid w:val="00224EB5"/>
    <w:rsid w:val="00225B3D"/>
    <w:rsid w:val="00230B76"/>
    <w:rsid w:val="002331AF"/>
    <w:rsid w:val="00234777"/>
    <w:rsid w:val="002460A7"/>
    <w:rsid w:val="0024714A"/>
    <w:rsid w:val="002544A5"/>
    <w:rsid w:val="002558A0"/>
    <w:rsid w:val="00256021"/>
    <w:rsid w:val="00257755"/>
    <w:rsid w:val="00257B3C"/>
    <w:rsid w:val="0026200B"/>
    <w:rsid w:val="00262353"/>
    <w:rsid w:val="00262B69"/>
    <w:rsid w:val="002636BE"/>
    <w:rsid w:val="002638EB"/>
    <w:rsid w:val="00265372"/>
    <w:rsid w:val="002679AC"/>
    <w:rsid w:val="00267D3C"/>
    <w:rsid w:val="00273E5A"/>
    <w:rsid w:val="00274A16"/>
    <w:rsid w:val="00275B58"/>
    <w:rsid w:val="00277F78"/>
    <w:rsid w:val="00281317"/>
    <w:rsid w:val="002822DE"/>
    <w:rsid w:val="00282601"/>
    <w:rsid w:val="0028304F"/>
    <w:rsid w:val="0028395C"/>
    <w:rsid w:val="002878D4"/>
    <w:rsid w:val="00290154"/>
    <w:rsid w:val="002947F7"/>
    <w:rsid w:val="002974BF"/>
    <w:rsid w:val="002A5254"/>
    <w:rsid w:val="002A75A6"/>
    <w:rsid w:val="002A7C9F"/>
    <w:rsid w:val="002B1D8A"/>
    <w:rsid w:val="002B3991"/>
    <w:rsid w:val="002B4CC0"/>
    <w:rsid w:val="002B5E09"/>
    <w:rsid w:val="002B62D7"/>
    <w:rsid w:val="002C0C31"/>
    <w:rsid w:val="002C1432"/>
    <w:rsid w:val="002C41A8"/>
    <w:rsid w:val="002C4867"/>
    <w:rsid w:val="002D356B"/>
    <w:rsid w:val="002D50C8"/>
    <w:rsid w:val="002E4A07"/>
    <w:rsid w:val="002E5910"/>
    <w:rsid w:val="002E5CF1"/>
    <w:rsid w:val="002F1D41"/>
    <w:rsid w:val="002F455C"/>
    <w:rsid w:val="002F4AC6"/>
    <w:rsid w:val="002F7CB2"/>
    <w:rsid w:val="0030348F"/>
    <w:rsid w:val="00306FD2"/>
    <w:rsid w:val="003073BF"/>
    <w:rsid w:val="00307CE2"/>
    <w:rsid w:val="0031477F"/>
    <w:rsid w:val="0031552C"/>
    <w:rsid w:val="003162A5"/>
    <w:rsid w:val="00316445"/>
    <w:rsid w:val="00321122"/>
    <w:rsid w:val="00325082"/>
    <w:rsid w:val="00333500"/>
    <w:rsid w:val="00333CA5"/>
    <w:rsid w:val="00334B01"/>
    <w:rsid w:val="00337D7B"/>
    <w:rsid w:val="00341D2C"/>
    <w:rsid w:val="00344F94"/>
    <w:rsid w:val="003467F7"/>
    <w:rsid w:val="003516E8"/>
    <w:rsid w:val="00356B3A"/>
    <w:rsid w:val="00362FA9"/>
    <w:rsid w:val="00363320"/>
    <w:rsid w:val="00367A5B"/>
    <w:rsid w:val="0037038C"/>
    <w:rsid w:val="00371398"/>
    <w:rsid w:val="00375191"/>
    <w:rsid w:val="00375D83"/>
    <w:rsid w:val="0038174F"/>
    <w:rsid w:val="003852C4"/>
    <w:rsid w:val="003854B3"/>
    <w:rsid w:val="0039120D"/>
    <w:rsid w:val="00393755"/>
    <w:rsid w:val="003A78DC"/>
    <w:rsid w:val="003B1466"/>
    <w:rsid w:val="003B703E"/>
    <w:rsid w:val="003C0A4C"/>
    <w:rsid w:val="003C38EF"/>
    <w:rsid w:val="003C4C45"/>
    <w:rsid w:val="003D1524"/>
    <w:rsid w:val="003D25FF"/>
    <w:rsid w:val="003D45DD"/>
    <w:rsid w:val="003D7886"/>
    <w:rsid w:val="003E06DC"/>
    <w:rsid w:val="003E0735"/>
    <w:rsid w:val="003E68EA"/>
    <w:rsid w:val="003E7024"/>
    <w:rsid w:val="003E76E0"/>
    <w:rsid w:val="003F0190"/>
    <w:rsid w:val="003F021E"/>
    <w:rsid w:val="003F50B7"/>
    <w:rsid w:val="003F590D"/>
    <w:rsid w:val="003F5C7B"/>
    <w:rsid w:val="003F6442"/>
    <w:rsid w:val="003F719F"/>
    <w:rsid w:val="003F7942"/>
    <w:rsid w:val="00410C38"/>
    <w:rsid w:val="00414DC7"/>
    <w:rsid w:val="00417D27"/>
    <w:rsid w:val="004206B5"/>
    <w:rsid w:val="00421277"/>
    <w:rsid w:val="004261DC"/>
    <w:rsid w:val="00426EA2"/>
    <w:rsid w:val="004319F0"/>
    <w:rsid w:val="00432E52"/>
    <w:rsid w:val="004340B3"/>
    <w:rsid w:val="00440991"/>
    <w:rsid w:val="004417CE"/>
    <w:rsid w:val="00445D19"/>
    <w:rsid w:val="0045165E"/>
    <w:rsid w:val="00454CA1"/>
    <w:rsid w:val="00461A0A"/>
    <w:rsid w:val="0047368F"/>
    <w:rsid w:val="00474916"/>
    <w:rsid w:val="00476639"/>
    <w:rsid w:val="00476759"/>
    <w:rsid w:val="00480806"/>
    <w:rsid w:val="00481600"/>
    <w:rsid w:val="00482491"/>
    <w:rsid w:val="0048520E"/>
    <w:rsid w:val="004856E9"/>
    <w:rsid w:val="00487B29"/>
    <w:rsid w:val="004903BF"/>
    <w:rsid w:val="00494ECC"/>
    <w:rsid w:val="0049510B"/>
    <w:rsid w:val="004A0468"/>
    <w:rsid w:val="004A4302"/>
    <w:rsid w:val="004A5E7A"/>
    <w:rsid w:val="004A6B2B"/>
    <w:rsid w:val="004B31E1"/>
    <w:rsid w:val="004C1AAE"/>
    <w:rsid w:val="004C4330"/>
    <w:rsid w:val="004C4923"/>
    <w:rsid w:val="004C4DE6"/>
    <w:rsid w:val="004C5DB4"/>
    <w:rsid w:val="004D0EBB"/>
    <w:rsid w:val="004D3811"/>
    <w:rsid w:val="004D68A9"/>
    <w:rsid w:val="004E5E73"/>
    <w:rsid w:val="004E6803"/>
    <w:rsid w:val="004E70CD"/>
    <w:rsid w:val="004F484A"/>
    <w:rsid w:val="004F4B1D"/>
    <w:rsid w:val="004F57E9"/>
    <w:rsid w:val="005001B6"/>
    <w:rsid w:val="00503AEE"/>
    <w:rsid w:val="005077B2"/>
    <w:rsid w:val="0051052A"/>
    <w:rsid w:val="005114DE"/>
    <w:rsid w:val="00513EF8"/>
    <w:rsid w:val="005153C8"/>
    <w:rsid w:val="00516EF5"/>
    <w:rsid w:val="005238D1"/>
    <w:rsid w:val="005301E8"/>
    <w:rsid w:val="005304F9"/>
    <w:rsid w:val="00537E41"/>
    <w:rsid w:val="00537F5D"/>
    <w:rsid w:val="00543512"/>
    <w:rsid w:val="00545694"/>
    <w:rsid w:val="005467B3"/>
    <w:rsid w:val="00547778"/>
    <w:rsid w:val="00550614"/>
    <w:rsid w:val="00550800"/>
    <w:rsid w:val="00553BED"/>
    <w:rsid w:val="00556317"/>
    <w:rsid w:val="00557D99"/>
    <w:rsid w:val="00560D08"/>
    <w:rsid w:val="005617A5"/>
    <w:rsid w:val="00564F25"/>
    <w:rsid w:val="00565886"/>
    <w:rsid w:val="0056696F"/>
    <w:rsid w:val="00566AB8"/>
    <w:rsid w:val="0057006A"/>
    <w:rsid w:val="005721C3"/>
    <w:rsid w:val="005743FB"/>
    <w:rsid w:val="00576388"/>
    <w:rsid w:val="005767A0"/>
    <w:rsid w:val="0058458C"/>
    <w:rsid w:val="005846D1"/>
    <w:rsid w:val="00584B2E"/>
    <w:rsid w:val="00585B1D"/>
    <w:rsid w:val="00586368"/>
    <w:rsid w:val="00594E9C"/>
    <w:rsid w:val="00596912"/>
    <w:rsid w:val="005A02AA"/>
    <w:rsid w:val="005A41CE"/>
    <w:rsid w:val="005B1DF3"/>
    <w:rsid w:val="005B5551"/>
    <w:rsid w:val="005C282D"/>
    <w:rsid w:val="005C42CC"/>
    <w:rsid w:val="005C5913"/>
    <w:rsid w:val="005C6D4E"/>
    <w:rsid w:val="005C741E"/>
    <w:rsid w:val="005D3C24"/>
    <w:rsid w:val="005D4C6E"/>
    <w:rsid w:val="005D6670"/>
    <w:rsid w:val="005D6F6E"/>
    <w:rsid w:val="005E06D7"/>
    <w:rsid w:val="005E16B3"/>
    <w:rsid w:val="005E4B72"/>
    <w:rsid w:val="005E4C05"/>
    <w:rsid w:val="005E6282"/>
    <w:rsid w:val="005E7DEF"/>
    <w:rsid w:val="005F0D26"/>
    <w:rsid w:val="005F0E6C"/>
    <w:rsid w:val="005F7113"/>
    <w:rsid w:val="0060184C"/>
    <w:rsid w:val="00602D1C"/>
    <w:rsid w:val="00606AEB"/>
    <w:rsid w:val="00607945"/>
    <w:rsid w:val="0060799C"/>
    <w:rsid w:val="0061170A"/>
    <w:rsid w:val="006119EA"/>
    <w:rsid w:val="006134C0"/>
    <w:rsid w:val="00614777"/>
    <w:rsid w:val="0061491B"/>
    <w:rsid w:val="00615256"/>
    <w:rsid w:val="006160C6"/>
    <w:rsid w:val="006208C0"/>
    <w:rsid w:val="00630B68"/>
    <w:rsid w:val="006344BC"/>
    <w:rsid w:val="00635B45"/>
    <w:rsid w:val="00636F6F"/>
    <w:rsid w:val="0064037E"/>
    <w:rsid w:val="006437B1"/>
    <w:rsid w:val="006453C8"/>
    <w:rsid w:val="006462DB"/>
    <w:rsid w:val="00647047"/>
    <w:rsid w:val="00650309"/>
    <w:rsid w:val="00653348"/>
    <w:rsid w:val="0066541A"/>
    <w:rsid w:val="00665B88"/>
    <w:rsid w:val="00666333"/>
    <w:rsid w:val="0066728B"/>
    <w:rsid w:val="00670068"/>
    <w:rsid w:val="006729DD"/>
    <w:rsid w:val="00673D3B"/>
    <w:rsid w:val="006759B6"/>
    <w:rsid w:val="00675A0D"/>
    <w:rsid w:val="00675A10"/>
    <w:rsid w:val="00675F22"/>
    <w:rsid w:val="0067765C"/>
    <w:rsid w:val="006832F3"/>
    <w:rsid w:val="00686E28"/>
    <w:rsid w:val="006914F4"/>
    <w:rsid w:val="00691780"/>
    <w:rsid w:val="00694211"/>
    <w:rsid w:val="006949C4"/>
    <w:rsid w:val="006952E6"/>
    <w:rsid w:val="006A2538"/>
    <w:rsid w:val="006B6BB1"/>
    <w:rsid w:val="006C2614"/>
    <w:rsid w:val="006C5E8E"/>
    <w:rsid w:val="006C5F8F"/>
    <w:rsid w:val="006E012D"/>
    <w:rsid w:val="006F4D40"/>
    <w:rsid w:val="006F58BE"/>
    <w:rsid w:val="006F68CA"/>
    <w:rsid w:val="007037D2"/>
    <w:rsid w:val="007046A4"/>
    <w:rsid w:val="00706F37"/>
    <w:rsid w:val="00712627"/>
    <w:rsid w:val="00716645"/>
    <w:rsid w:val="007207C7"/>
    <w:rsid w:val="007228DA"/>
    <w:rsid w:val="0073317B"/>
    <w:rsid w:val="0073702A"/>
    <w:rsid w:val="007413E7"/>
    <w:rsid w:val="00747588"/>
    <w:rsid w:val="007516E6"/>
    <w:rsid w:val="00751CCF"/>
    <w:rsid w:val="00757851"/>
    <w:rsid w:val="00760F2B"/>
    <w:rsid w:val="007641E9"/>
    <w:rsid w:val="0076594A"/>
    <w:rsid w:val="0076616D"/>
    <w:rsid w:val="00766935"/>
    <w:rsid w:val="00770DCF"/>
    <w:rsid w:val="00774CEA"/>
    <w:rsid w:val="0077740E"/>
    <w:rsid w:val="00777830"/>
    <w:rsid w:val="00780A77"/>
    <w:rsid w:val="00782004"/>
    <w:rsid w:val="00786B37"/>
    <w:rsid w:val="00787A8A"/>
    <w:rsid w:val="00791B13"/>
    <w:rsid w:val="0079385F"/>
    <w:rsid w:val="00795D0D"/>
    <w:rsid w:val="00795E3E"/>
    <w:rsid w:val="007A1441"/>
    <w:rsid w:val="007B153B"/>
    <w:rsid w:val="007B2490"/>
    <w:rsid w:val="007B2579"/>
    <w:rsid w:val="007B3F77"/>
    <w:rsid w:val="007C1BE3"/>
    <w:rsid w:val="007C21D5"/>
    <w:rsid w:val="007C5D19"/>
    <w:rsid w:val="007C73EC"/>
    <w:rsid w:val="007C79F9"/>
    <w:rsid w:val="007C7DE0"/>
    <w:rsid w:val="007D1FBF"/>
    <w:rsid w:val="007D2797"/>
    <w:rsid w:val="007D4ED6"/>
    <w:rsid w:val="007E19F3"/>
    <w:rsid w:val="007E4382"/>
    <w:rsid w:val="007F2D67"/>
    <w:rsid w:val="007F3BFA"/>
    <w:rsid w:val="007F7982"/>
    <w:rsid w:val="007F7F2E"/>
    <w:rsid w:val="0080060B"/>
    <w:rsid w:val="008009E2"/>
    <w:rsid w:val="008019A2"/>
    <w:rsid w:val="00806468"/>
    <w:rsid w:val="00806EE8"/>
    <w:rsid w:val="00807D4A"/>
    <w:rsid w:val="00807E64"/>
    <w:rsid w:val="00813F0F"/>
    <w:rsid w:val="00821D19"/>
    <w:rsid w:val="00827F63"/>
    <w:rsid w:val="008302A6"/>
    <w:rsid w:val="0083174D"/>
    <w:rsid w:val="00833A9C"/>
    <w:rsid w:val="00833DA6"/>
    <w:rsid w:val="00835117"/>
    <w:rsid w:val="00841295"/>
    <w:rsid w:val="0084485F"/>
    <w:rsid w:val="00850EB2"/>
    <w:rsid w:val="00851904"/>
    <w:rsid w:val="00853CBD"/>
    <w:rsid w:val="00854932"/>
    <w:rsid w:val="00856339"/>
    <w:rsid w:val="008565F2"/>
    <w:rsid w:val="00856B58"/>
    <w:rsid w:val="00857849"/>
    <w:rsid w:val="00864671"/>
    <w:rsid w:val="00867836"/>
    <w:rsid w:val="008736AB"/>
    <w:rsid w:val="00875A53"/>
    <w:rsid w:val="00892120"/>
    <w:rsid w:val="00894BC4"/>
    <w:rsid w:val="008A036A"/>
    <w:rsid w:val="008A08C3"/>
    <w:rsid w:val="008A1104"/>
    <w:rsid w:val="008A5153"/>
    <w:rsid w:val="008B1A10"/>
    <w:rsid w:val="008B46A7"/>
    <w:rsid w:val="008B7A7B"/>
    <w:rsid w:val="008C1CFC"/>
    <w:rsid w:val="008C2684"/>
    <w:rsid w:val="008C3559"/>
    <w:rsid w:val="008C5B0E"/>
    <w:rsid w:val="008E090E"/>
    <w:rsid w:val="008E10F2"/>
    <w:rsid w:val="008F4C22"/>
    <w:rsid w:val="008F6EE5"/>
    <w:rsid w:val="008F745D"/>
    <w:rsid w:val="008F78A8"/>
    <w:rsid w:val="009037E1"/>
    <w:rsid w:val="00903E57"/>
    <w:rsid w:val="009072D5"/>
    <w:rsid w:val="00907BE6"/>
    <w:rsid w:val="0091435A"/>
    <w:rsid w:val="00916873"/>
    <w:rsid w:val="00921872"/>
    <w:rsid w:val="0092228E"/>
    <w:rsid w:val="00923B25"/>
    <w:rsid w:val="00924939"/>
    <w:rsid w:val="00930F80"/>
    <w:rsid w:val="00931658"/>
    <w:rsid w:val="0093258F"/>
    <w:rsid w:val="00932AD0"/>
    <w:rsid w:val="0093333C"/>
    <w:rsid w:val="00934754"/>
    <w:rsid w:val="009369AC"/>
    <w:rsid w:val="009476EB"/>
    <w:rsid w:val="00954BFF"/>
    <w:rsid w:val="0095696C"/>
    <w:rsid w:val="0097244D"/>
    <w:rsid w:val="00972D2F"/>
    <w:rsid w:val="009737F7"/>
    <w:rsid w:val="0097679F"/>
    <w:rsid w:val="0098179E"/>
    <w:rsid w:val="00983679"/>
    <w:rsid w:val="0099098D"/>
    <w:rsid w:val="0099165B"/>
    <w:rsid w:val="00995911"/>
    <w:rsid w:val="009A0F77"/>
    <w:rsid w:val="009A17F6"/>
    <w:rsid w:val="009A2137"/>
    <w:rsid w:val="009A6E55"/>
    <w:rsid w:val="009B1091"/>
    <w:rsid w:val="009B27E9"/>
    <w:rsid w:val="009B2C96"/>
    <w:rsid w:val="009B468D"/>
    <w:rsid w:val="009B50CD"/>
    <w:rsid w:val="009B5BA5"/>
    <w:rsid w:val="009C2713"/>
    <w:rsid w:val="009C47F7"/>
    <w:rsid w:val="009C70EA"/>
    <w:rsid w:val="009C7A7A"/>
    <w:rsid w:val="009D3AF9"/>
    <w:rsid w:val="009E175D"/>
    <w:rsid w:val="009E24B8"/>
    <w:rsid w:val="009E7541"/>
    <w:rsid w:val="009F109C"/>
    <w:rsid w:val="009F5C70"/>
    <w:rsid w:val="00A02AD0"/>
    <w:rsid w:val="00A06268"/>
    <w:rsid w:val="00A06492"/>
    <w:rsid w:val="00A149EC"/>
    <w:rsid w:val="00A15F61"/>
    <w:rsid w:val="00A16255"/>
    <w:rsid w:val="00A16A01"/>
    <w:rsid w:val="00A219C5"/>
    <w:rsid w:val="00A223AF"/>
    <w:rsid w:val="00A26DD0"/>
    <w:rsid w:val="00A270F8"/>
    <w:rsid w:val="00A324E4"/>
    <w:rsid w:val="00A40652"/>
    <w:rsid w:val="00A40896"/>
    <w:rsid w:val="00A43343"/>
    <w:rsid w:val="00A439D1"/>
    <w:rsid w:val="00A56389"/>
    <w:rsid w:val="00A63EFC"/>
    <w:rsid w:val="00A64D83"/>
    <w:rsid w:val="00A67F12"/>
    <w:rsid w:val="00A70329"/>
    <w:rsid w:val="00A71083"/>
    <w:rsid w:val="00A738E4"/>
    <w:rsid w:val="00A779AA"/>
    <w:rsid w:val="00A81E18"/>
    <w:rsid w:val="00A82A7D"/>
    <w:rsid w:val="00A84CA4"/>
    <w:rsid w:val="00A859F7"/>
    <w:rsid w:val="00A86CC4"/>
    <w:rsid w:val="00A87358"/>
    <w:rsid w:val="00A9003E"/>
    <w:rsid w:val="00A92F89"/>
    <w:rsid w:val="00AA055D"/>
    <w:rsid w:val="00AA40AF"/>
    <w:rsid w:val="00AA5809"/>
    <w:rsid w:val="00AB1E66"/>
    <w:rsid w:val="00AB256F"/>
    <w:rsid w:val="00AD1A62"/>
    <w:rsid w:val="00AD6ECB"/>
    <w:rsid w:val="00AF039F"/>
    <w:rsid w:val="00AF4F4F"/>
    <w:rsid w:val="00AF77F6"/>
    <w:rsid w:val="00B01612"/>
    <w:rsid w:val="00B04BE1"/>
    <w:rsid w:val="00B1081C"/>
    <w:rsid w:val="00B10E5D"/>
    <w:rsid w:val="00B165DB"/>
    <w:rsid w:val="00B16F78"/>
    <w:rsid w:val="00B21A31"/>
    <w:rsid w:val="00B21D9F"/>
    <w:rsid w:val="00B22162"/>
    <w:rsid w:val="00B26773"/>
    <w:rsid w:val="00B26E06"/>
    <w:rsid w:val="00B2738B"/>
    <w:rsid w:val="00B33102"/>
    <w:rsid w:val="00B45140"/>
    <w:rsid w:val="00B50413"/>
    <w:rsid w:val="00B52D60"/>
    <w:rsid w:val="00B62729"/>
    <w:rsid w:val="00B636D5"/>
    <w:rsid w:val="00B70BE5"/>
    <w:rsid w:val="00B7211A"/>
    <w:rsid w:val="00B82B44"/>
    <w:rsid w:val="00B82D52"/>
    <w:rsid w:val="00B855AC"/>
    <w:rsid w:val="00B87CFE"/>
    <w:rsid w:val="00B90840"/>
    <w:rsid w:val="00B90C64"/>
    <w:rsid w:val="00B90DC3"/>
    <w:rsid w:val="00B92BF0"/>
    <w:rsid w:val="00B9757A"/>
    <w:rsid w:val="00BA3FDB"/>
    <w:rsid w:val="00BA4529"/>
    <w:rsid w:val="00BA63C5"/>
    <w:rsid w:val="00BA6461"/>
    <w:rsid w:val="00BA6E3E"/>
    <w:rsid w:val="00BB03A6"/>
    <w:rsid w:val="00BB4FFE"/>
    <w:rsid w:val="00BB6D39"/>
    <w:rsid w:val="00BC6830"/>
    <w:rsid w:val="00BC7028"/>
    <w:rsid w:val="00BD0304"/>
    <w:rsid w:val="00BD4AF9"/>
    <w:rsid w:val="00BD5E26"/>
    <w:rsid w:val="00BD6072"/>
    <w:rsid w:val="00BE33D2"/>
    <w:rsid w:val="00BE6ABE"/>
    <w:rsid w:val="00BF0BCB"/>
    <w:rsid w:val="00BF2C00"/>
    <w:rsid w:val="00BF4BC5"/>
    <w:rsid w:val="00BF4C38"/>
    <w:rsid w:val="00BF59D1"/>
    <w:rsid w:val="00BF60FB"/>
    <w:rsid w:val="00BF7A95"/>
    <w:rsid w:val="00C008C8"/>
    <w:rsid w:val="00C027E1"/>
    <w:rsid w:val="00C06C2F"/>
    <w:rsid w:val="00C1307F"/>
    <w:rsid w:val="00C137DD"/>
    <w:rsid w:val="00C13AAD"/>
    <w:rsid w:val="00C15EE2"/>
    <w:rsid w:val="00C17BBB"/>
    <w:rsid w:val="00C3261F"/>
    <w:rsid w:val="00C34A93"/>
    <w:rsid w:val="00C362D1"/>
    <w:rsid w:val="00C36CB6"/>
    <w:rsid w:val="00C373CC"/>
    <w:rsid w:val="00C37B44"/>
    <w:rsid w:val="00C4239E"/>
    <w:rsid w:val="00C42C44"/>
    <w:rsid w:val="00C44B2B"/>
    <w:rsid w:val="00C54F00"/>
    <w:rsid w:val="00C57245"/>
    <w:rsid w:val="00C600DB"/>
    <w:rsid w:val="00C60ABB"/>
    <w:rsid w:val="00C60EA6"/>
    <w:rsid w:val="00C663D0"/>
    <w:rsid w:val="00C74157"/>
    <w:rsid w:val="00C75581"/>
    <w:rsid w:val="00C83B1C"/>
    <w:rsid w:val="00C86E58"/>
    <w:rsid w:val="00C956E8"/>
    <w:rsid w:val="00C96A03"/>
    <w:rsid w:val="00C97242"/>
    <w:rsid w:val="00CA05D0"/>
    <w:rsid w:val="00CA3978"/>
    <w:rsid w:val="00CB1459"/>
    <w:rsid w:val="00CB2937"/>
    <w:rsid w:val="00CB67D5"/>
    <w:rsid w:val="00CC05C8"/>
    <w:rsid w:val="00CC6525"/>
    <w:rsid w:val="00CC784A"/>
    <w:rsid w:val="00CC7DEA"/>
    <w:rsid w:val="00CD1D89"/>
    <w:rsid w:val="00CD2439"/>
    <w:rsid w:val="00CD4746"/>
    <w:rsid w:val="00CD7436"/>
    <w:rsid w:val="00CE0FF6"/>
    <w:rsid w:val="00CE6ADD"/>
    <w:rsid w:val="00CF7BDD"/>
    <w:rsid w:val="00D02C95"/>
    <w:rsid w:val="00D04BCA"/>
    <w:rsid w:val="00D169AC"/>
    <w:rsid w:val="00D20F93"/>
    <w:rsid w:val="00D21330"/>
    <w:rsid w:val="00D221CF"/>
    <w:rsid w:val="00D2322D"/>
    <w:rsid w:val="00D251AC"/>
    <w:rsid w:val="00D26B7B"/>
    <w:rsid w:val="00D31833"/>
    <w:rsid w:val="00D32354"/>
    <w:rsid w:val="00D401D1"/>
    <w:rsid w:val="00D42436"/>
    <w:rsid w:val="00D43788"/>
    <w:rsid w:val="00D5343B"/>
    <w:rsid w:val="00D55055"/>
    <w:rsid w:val="00D70574"/>
    <w:rsid w:val="00D70EAC"/>
    <w:rsid w:val="00D71D0C"/>
    <w:rsid w:val="00D732EB"/>
    <w:rsid w:val="00D750A3"/>
    <w:rsid w:val="00D84F33"/>
    <w:rsid w:val="00D86B4E"/>
    <w:rsid w:val="00D87F40"/>
    <w:rsid w:val="00D91E29"/>
    <w:rsid w:val="00D93931"/>
    <w:rsid w:val="00DA24C0"/>
    <w:rsid w:val="00DC0585"/>
    <w:rsid w:val="00DD1E26"/>
    <w:rsid w:val="00DD3CC1"/>
    <w:rsid w:val="00DD51E9"/>
    <w:rsid w:val="00DE1BA5"/>
    <w:rsid w:val="00DE69D1"/>
    <w:rsid w:val="00DF0414"/>
    <w:rsid w:val="00DF1550"/>
    <w:rsid w:val="00DF453D"/>
    <w:rsid w:val="00DF4751"/>
    <w:rsid w:val="00E0011B"/>
    <w:rsid w:val="00E0032B"/>
    <w:rsid w:val="00E02541"/>
    <w:rsid w:val="00E03804"/>
    <w:rsid w:val="00E0693C"/>
    <w:rsid w:val="00E11034"/>
    <w:rsid w:val="00E12027"/>
    <w:rsid w:val="00E14FE6"/>
    <w:rsid w:val="00E1733A"/>
    <w:rsid w:val="00E239BE"/>
    <w:rsid w:val="00E24BD1"/>
    <w:rsid w:val="00E31146"/>
    <w:rsid w:val="00E35B56"/>
    <w:rsid w:val="00E35E95"/>
    <w:rsid w:val="00E368BE"/>
    <w:rsid w:val="00E422CC"/>
    <w:rsid w:val="00E428BB"/>
    <w:rsid w:val="00E4406A"/>
    <w:rsid w:val="00E45491"/>
    <w:rsid w:val="00E45E5A"/>
    <w:rsid w:val="00E46116"/>
    <w:rsid w:val="00E53E69"/>
    <w:rsid w:val="00E5436C"/>
    <w:rsid w:val="00E55023"/>
    <w:rsid w:val="00E63734"/>
    <w:rsid w:val="00E63FE3"/>
    <w:rsid w:val="00E6503B"/>
    <w:rsid w:val="00E71F24"/>
    <w:rsid w:val="00E7251C"/>
    <w:rsid w:val="00E732BE"/>
    <w:rsid w:val="00E7552E"/>
    <w:rsid w:val="00E76971"/>
    <w:rsid w:val="00E7742D"/>
    <w:rsid w:val="00E96DFC"/>
    <w:rsid w:val="00E970D9"/>
    <w:rsid w:val="00EA362D"/>
    <w:rsid w:val="00EA740F"/>
    <w:rsid w:val="00EB18C5"/>
    <w:rsid w:val="00EB4479"/>
    <w:rsid w:val="00EB7328"/>
    <w:rsid w:val="00EB73D8"/>
    <w:rsid w:val="00EC33EC"/>
    <w:rsid w:val="00ED21B8"/>
    <w:rsid w:val="00ED275D"/>
    <w:rsid w:val="00ED39A4"/>
    <w:rsid w:val="00ED6C5F"/>
    <w:rsid w:val="00ED714C"/>
    <w:rsid w:val="00EE35F5"/>
    <w:rsid w:val="00EE3704"/>
    <w:rsid w:val="00EE37F4"/>
    <w:rsid w:val="00EF1CF2"/>
    <w:rsid w:val="00EF597C"/>
    <w:rsid w:val="00F0130C"/>
    <w:rsid w:val="00F01EB9"/>
    <w:rsid w:val="00F05619"/>
    <w:rsid w:val="00F10B00"/>
    <w:rsid w:val="00F111AC"/>
    <w:rsid w:val="00F14D32"/>
    <w:rsid w:val="00F27578"/>
    <w:rsid w:val="00F411F1"/>
    <w:rsid w:val="00F45153"/>
    <w:rsid w:val="00F4719C"/>
    <w:rsid w:val="00F528B9"/>
    <w:rsid w:val="00F53906"/>
    <w:rsid w:val="00F57F33"/>
    <w:rsid w:val="00F610AD"/>
    <w:rsid w:val="00F67E6F"/>
    <w:rsid w:val="00F70825"/>
    <w:rsid w:val="00F73490"/>
    <w:rsid w:val="00F74630"/>
    <w:rsid w:val="00F80FBB"/>
    <w:rsid w:val="00F92555"/>
    <w:rsid w:val="00F96482"/>
    <w:rsid w:val="00F9787B"/>
    <w:rsid w:val="00FA19CC"/>
    <w:rsid w:val="00FA23E9"/>
    <w:rsid w:val="00FA6051"/>
    <w:rsid w:val="00FB2E89"/>
    <w:rsid w:val="00FB5626"/>
    <w:rsid w:val="00FC19AB"/>
    <w:rsid w:val="00FC324A"/>
    <w:rsid w:val="00FC371C"/>
    <w:rsid w:val="00FC43E5"/>
    <w:rsid w:val="00FC5686"/>
    <w:rsid w:val="00FD5173"/>
    <w:rsid w:val="00FD73DE"/>
    <w:rsid w:val="00FE0950"/>
    <w:rsid w:val="00FE0C82"/>
    <w:rsid w:val="00FE316B"/>
    <w:rsid w:val="00FE45E9"/>
    <w:rsid w:val="00FE4FF4"/>
    <w:rsid w:val="00FE60AC"/>
    <w:rsid w:val="00FE6CC1"/>
    <w:rsid w:val="00FE75E7"/>
    <w:rsid w:val="00FF65A2"/>
    <w:rsid w:val="00FF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AB31"/>
  <w15:docId w15:val="{3448C230-4CD7-4740-8AD3-8106CF949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3854B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Odstavec_muj,List Paragraph,Odstavec cíl se seznamem,Odstavec se seznamem5"/>
    <w:basedOn w:val="Normln"/>
    <w:link w:val="OdstavecseseznamemChar"/>
    <w:qFormat/>
    <w:rsid w:val="00494EC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45140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45140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45140"/>
    <w:rPr>
      <w:vertAlign w:val="superscript"/>
    </w:rPr>
  </w:style>
  <w:style w:type="paragraph" w:customStyle="1" w:styleId="Default">
    <w:name w:val="Default"/>
    <w:rsid w:val="00153BD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123FF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23FF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3FF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23FF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23FFC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2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23FFC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6F4D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Nad Char,Odstavec_muj Char,List Paragraph Char,Odstavec cíl se seznamem Char,Odstavec se seznamem5 Char"/>
    <w:basedOn w:val="Standardnpsmoodstavce"/>
    <w:link w:val="Odstavecseseznamem"/>
    <w:uiPriority w:val="34"/>
    <w:locked/>
    <w:rsid w:val="002B62D7"/>
  </w:style>
  <w:style w:type="character" w:styleId="Hypertextovodkaz">
    <w:name w:val="Hyperlink"/>
    <w:basedOn w:val="Standardnpsmoodstavce"/>
    <w:uiPriority w:val="99"/>
    <w:unhideWhenUsed/>
    <w:rsid w:val="00E55023"/>
    <w:rPr>
      <w:color w:val="333333"/>
      <w:u w:val="single"/>
    </w:rPr>
  </w:style>
  <w:style w:type="paragraph" w:styleId="Titulek">
    <w:name w:val="caption"/>
    <w:basedOn w:val="Normln"/>
    <w:next w:val="Normln"/>
    <w:uiPriority w:val="35"/>
    <w:unhideWhenUsed/>
    <w:qFormat/>
    <w:rsid w:val="00FB5626"/>
    <w:pPr>
      <w:spacing w:line="240" w:lineRule="auto"/>
    </w:pPr>
    <w:rPr>
      <w:i/>
      <w:iCs/>
      <w:color w:val="1F497D" w:themeColor="text2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265372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265372"/>
    <w:rPr>
      <w:color w:val="800080" w:themeColor="followedHyperlink"/>
      <w:u w:val="single"/>
    </w:rPr>
  </w:style>
  <w:style w:type="character" w:customStyle="1" w:styleId="normaltextrun">
    <w:name w:val="normaltextrun"/>
    <w:basedOn w:val="Standardnpsmoodstavce"/>
    <w:rsid w:val="00C96A03"/>
  </w:style>
  <w:style w:type="paragraph" w:customStyle="1" w:styleId="paragraph">
    <w:name w:val="paragraph"/>
    <w:basedOn w:val="Normln"/>
    <w:rsid w:val="009B5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eop">
    <w:name w:val="eop"/>
    <w:basedOn w:val="Standardnpsmoodstavce"/>
    <w:rsid w:val="009B50CD"/>
  </w:style>
  <w:style w:type="character" w:customStyle="1" w:styleId="spellingerror">
    <w:name w:val="spellingerror"/>
    <w:basedOn w:val="Standardnpsmoodstavce"/>
    <w:rsid w:val="009B50CD"/>
  </w:style>
  <w:style w:type="character" w:customStyle="1" w:styleId="contextualspellingandgrammarerror">
    <w:name w:val="contextualspellingandgrammarerror"/>
    <w:basedOn w:val="Standardnpsmoodstavce"/>
    <w:rsid w:val="00FE45E9"/>
  </w:style>
  <w:style w:type="paragraph" w:styleId="Revize">
    <w:name w:val="Revision"/>
    <w:hidden/>
    <w:uiPriority w:val="99"/>
    <w:semiHidden/>
    <w:rsid w:val="00C06C2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3854B3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55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3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49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611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88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23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65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1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82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609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5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13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6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1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2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41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59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00B306-4D17-4450-AF4B-BF0A280D44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2012</Words>
  <Characters>11877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13862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Krátká Jana</dc:creator>
  <cp:keywords/>
  <dc:description/>
  <cp:lastModifiedBy>Vdolečková Dagmar</cp:lastModifiedBy>
  <cp:revision>2</cp:revision>
  <cp:lastPrinted>2022-05-24T10:25:00Z</cp:lastPrinted>
  <dcterms:created xsi:type="dcterms:W3CDTF">2026-04-24T10:42:00Z</dcterms:created>
  <dcterms:modified xsi:type="dcterms:W3CDTF">2026-04-24T10:42:00Z</dcterms:modified>
</cp:coreProperties>
</file>