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BDEC" w14:textId="77777777" w:rsidR="00DB246C" w:rsidRDefault="00DB246C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</w:p>
    <w:p w14:paraId="33760FE6" w14:textId="0ACD27BF" w:rsidR="00DB246C" w:rsidRPr="00DB246C" w:rsidRDefault="00DB246C" w:rsidP="00DB246C">
      <w:pPr>
        <w:keepNext/>
        <w:spacing w:before="240"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kern w:val="32"/>
          <w:sz w:val="32"/>
          <w:szCs w:val="32"/>
          <w:lang w:eastAsia="cs-CZ"/>
        </w:rPr>
      </w:pPr>
      <w:r w:rsidRPr="00DB246C">
        <w:rPr>
          <w:rFonts w:ascii="Arial" w:eastAsia="Times New Roman" w:hAnsi="Arial" w:cs="Arial"/>
          <w:kern w:val="32"/>
          <w:sz w:val="32"/>
          <w:szCs w:val="32"/>
          <w:lang w:eastAsia="cs-CZ"/>
        </w:rPr>
        <w:t>N Á V R H</w:t>
      </w:r>
    </w:p>
    <w:p w14:paraId="652580E4" w14:textId="63B50B0E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 xml:space="preserve">Obecně závazná vyhláška č. </w:t>
      </w:r>
      <w:r w:rsidR="00026916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.../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20</w:t>
      </w:r>
      <w:r w:rsidR="00B67B95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</w:t>
      </w:r>
      <w:r w:rsidR="00026916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5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41968CA7" w14:textId="52F21DBE" w:rsidR="00337366" w:rsidRDefault="00337366" w:rsidP="00F67DA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070BF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DB246C">
        <w:rPr>
          <w:rFonts w:ascii="Arial" w:eastAsia="Times New Roman" w:hAnsi="Arial" w:cs="Arial"/>
          <w:bCs/>
          <w:sz w:val="24"/>
          <w:szCs w:val="24"/>
          <w:lang w:eastAsia="cs-CZ"/>
        </w:rPr>
        <w:t>................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vydat v souladu s § 84 odst. 2 písm. 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vyhlášku:</w:t>
      </w:r>
    </w:p>
    <w:p w14:paraId="2CA79BF2" w14:textId="16FFF0CD" w:rsidR="00B67B95" w:rsidRDefault="00B67B95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03EC6D84" w14:textId="51FB0AF9" w:rsidR="00CF184B" w:rsidRDefault="002945F4" w:rsidP="00CF184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184B"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ve znění pozdějších změn a doplňků,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0973A2" w14:textId="77777777" w:rsidR="007519C5" w:rsidRDefault="007519C5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B76FC6" w14:textId="77777777" w:rsidR="00BC2608" w:rsidRDefault="00BC2608" w:rsidP="00BC2608">
      <w:pPr>
        <w:ind w:left="1276"/>
        <w:rPr>
          <w:rFonts w:ascii="Arial" w:hAnsi="Arial" w:cs="Arial"/>
          <w:i/>
          <w:iCs/>
          <w:sz w:val="24"/>
        </w:rPr>
      </w:pPr>
    </w:p>
    <w:p w14:paraId="06307C39" w14:textId="0E449D5F" w:rsidR="007519C5" w:rsidRPr="007519C5" w:rsidRDefault="007519C5" w:rsidP="007519C5">
      <w:pPr>
        <w:pStyle w:val="Odstavecseseznamem"/>
        <w:numPr>
          <w:ilvl w:val="0"/>
          <w:numId w:val="4"/>
        </w:numPr>
        <w:spacing w:line="240" w:lineRule="auto"/>
        <w:ind w:left="851" w:hanging="851"/>
        <w:rPr>
          <w:rFonts w:ascii="Arial" w:hAnsi="Arial" w:cs="Arial"/>
          <w:bCs/>
          <w:sz w:val="24"/>
          <w:szCs w:val="24"/>
        </w:rPr>
      </w:pPr>
      <w:r w:rsidRPr="007519C5">
        <w:rPr>
          <w:rFonts w:ascii="Arial" w:hAnsi="Arial" w:cs="Arial"/>
          <w:sz w:val="24"/>
          <w:szCs w:val="24"/>
        </w:rPr>
        <w:t>V</w:t>
      </w:r>
      <w:r w:rsidR="008C654B">
        <w:rPr>
          <w:rFonts w:ascii="Arial" w:hAnsi="Arial" w:cs="Arial"/>
          <w:sz w:val="24"/>
          <w:szCs w:val="24"/>
        </w:rPr>
        <w:t> </w:t>
      </w:r>
      <w:r w:rsidRPr="007519C5">
        <w:rPr>
          <w:rFonts w:ascii="Arial" w:hAnsi="Arial" w:cs="Arial"/>
          <w:sz w:val="24"/>
          <w:szCs w:val="24"/>
        </w:rPr>
        <w:t>čl</w:t>
      </w:r>
      <w:r w:rsidR="008C654B">
        <w:rPr>
          <w:rFonts w:ascii="Arial" w:hAnsi="Arial" w:cs="Arial"/>
          <w:sz w:val="24"/>
          <w:szCs w:val="24"/>
        </w:rPr>
        <w:t xml:space="preserve">. </w:t>
      </w:r>
      <w:r w:rsidRPr="007519C5">
        <w:rPr>
          <w:rFonts w:ascii="Arial" w:hAnsi="Arial" w:cs="Arial"/>
          <w:sz w:val="24"/>
          <w:szCs w:val="24"/>
        </w:rPr>
        <w:t>7 odst</w:t>
      </w:r>
      <w:r w:rsidR="008C654B">
        <w:rPr>
          <w:rFonts w:ascii="Arial" w:hAnsi="Arial" w:cs="Arial"/>
          <w:sz w:val="24"/>
          <w:szCs w:val="24"/>
        </w:rPr>
        <w:t>avec</w:t>
      </w:r>
      <w:r w:rsidRPr="007519C5">
        <w:rPr>
          <w:rFonts w:ascii="Arial" w:hAnsi="Arial" w:cs="Arial"/>
          <w:sz w:val="24"/>
          <w:szCs w:val="24"/>
        </w:rPr>
        <w:t xml:space="preserve"> 15 </w:t>
      </w:r>
      <w:r w:rsidR="008261F5">
        <w:rPr>
          <w:rFonts w:ascii="Arial" w:hAnsi="Arial" w:cs="Arial"/>
          <w:sz w:val="24"/>
          <w:szCs w:val="24"/>
        </w:rPr>
        <w:t>zní</w:t>
      </w:r>
      <w:r w:rsidRPr="007519C5">
        <w:rPr>
          <w:rFonts w:ascii="Arial" w:hAnsi="Arial" w:cs="Arial"/>
          <w:sz w:val="24"/>
          <w:szCs w:val="24"/>
        </w:rPr>
        <w:t>:</w:t>
      </w:r>
    </w:p>
    <w:p w14:paraId="0D1A5247" w14:textId="77777777" w:rsidR="007519C5" w:rsidRPr="007519C5" w:rsidRDefault="007519C5" w:rsidP="007519C5">
      <w:pPr>
        <w:rPr>
          <w:rFonts w:ascii="Arial" w:hAnsi="Arial" w:cs="Arial"/>
          <w:bCs/>
          <w:sz w:val="24"/>
          <w:szCs w:val="24"/>
        </w:rPr>
      </w:pPr>
    </w:p>
    <w:p w14:paraId="2867C503" w14:textId="68BF5336" w:rsidR="00ED341C" w:rsidRPr="00ED341C" w:rsidRDefault="007519C5" w:rsidP="00ED341C">
      <w:pPr>
        <w:pStyle w:val="slovanseznam"/>
        <w:numPr>
          <w:ilvl w:val="0"/>
          <w:numId w:val="0"/>
        </w:numPr>
        <w:ind w:left="1418" w:hanging="567"/>
        <w:rPr>
          <w:rFonts w:ascii="Arial" w:hAnsi="Arial" w:cs="Arial"/>
          <w:bCs/>
        </w:rPr>
      </w:pPr>
      <w:r w:rsidRPr="00D8051A">
        <w:rPr>
          <w:rFonts w:ascii="Arial" w:hAnsi="Arial" w:cs="Arial"/>
          <w:szCs w:val="24"/>
        </w:rPr>
        <w:t xml:space="preserve">„15) </w:t>
      </w:r>
      <w:r w:rsidRPr="007519C5">
        <w:rPr>
          <w:rFonts w:ascii="Arial" w:hAnsi="Arial" w:cs="Arial"/>
          <w:szCs w:val="24"/>
        </w:rPr>
        <w:tab/>
      </w:r>
      <w:r w:rsidR="00ED341C" w:rsidRPr="00ED341C">
        <w:rPr>
          <w:rFonts w:ascii="Arial" w:hAnsi="Arial" w:cs="Arial"/>
          <w:bCs/>
        </w:rPr>
        <w:t>Jestliže orgán městského obvodu rozhoduje o právním jednáním, je rada městského obvodu oprávněna rozhodovat o příslušném záměru podle zákona o obcích. Pokud rada městského obvodu svěřila rozhodování o právním jednání starostovi nebo úřadu městského obvodu, pak tento orgán městského obvodu rozhoduje i o příslušném záměru. O příslušném záměru právního jednání však rozhoduje zastupitelstvo městského obvodu vždy, pokud si to vyhradí.“.</w:t>
      </w:r>
    </w:p>
    <w:p w14:paraId="3FAB7A88" w14:textId="77777777" w:rsidR="007519C5" w:rsidRDefault="007519C5" w:rsidP="00BC2608">
      <w:pPr>
        <w:ind w:left="1276"/>
        <w:rPr>
          <w:rFonts w:ascii="Arial" w:hAnsi="Arial" w:cs="Arial"/>
          <w:i/>
          <w:iCs/>
          <w:sz w:val="24"/>
        </w:rPr>
      </w:pPr>
    </w:p>
    <w:p w14:paraId="7EC27C88" w14:textId="77777777" w:rsidR="007519C5" w:rsidRPr="00026916" w:rsidRDefault="007519C5" w:rsidP="00BC2608">
      <w:pPr>
        <w:ind w:left="1276"/>
        <w:rPr>
          <w:rFonts w:ascii="Arial" w:hAnsi="Arial" w:cs="Arial"/>
          <w:i/>
          <w:iCs/>
          <w:sz w:val="24"/>
        </w:rPr>
      </w:pPr>
    </w:p>
    <w:p w14:paraId="012AF8D7" w14:textId="4F938957" w:rsidR="00592B4A" w:rsidRPr="00592B4A" w:rsidRDefault="00592B4A" w:rsidP="00592B4A">
      <w:pPr>
        <w:numPr>
          <w:ilvl w:val="0"/>
          <w:numId w:val="4"/>
        </w:numPr>
        <w:spacing w:line="240" w:lineRule="auto"/>
        <w:ind w:left="851" w:hanging="851"/>
        <w:contextualSpacing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čl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. 1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3 odst. 2 písm. b) bod 1 včetně poznámky pod čarou zní:</w:t>
      </w:r>
    </w:p>
    <w:p w14:paraId="689903CE" w14:textId="77777777" w:rsidR="00592B4A" w:rsidRPr="00592B4A" w:rsidRDefault="00592B4A" w:rsidP="00592B4A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33DC6A" w14:textId="77777777" w:rsidR="00592B4A" w:rsidRPr="00592B4A" w:rsidRDefault="00592B4A" w:rsidP="00592B4A">
      <w:pPr>
        <w:spacing w:line="240" w:lineRule="auto"/>
        <w:ind w:left="851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„1.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ab/>
        <w:t>na úseku voleb v souladu s právními předpisy upravujícími volby</w:t>
      </w:r>
      <w:r w:rsidRPr="00592B4A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4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4D9BA6FF" w14:textId="77777777" w:rsidR="00592B4A" w:rsidRPr="00592B4A" w:rsidRDefault="00592B4A" w:rsidP="00592B4A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627254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C8FDB9" w14:textId="77777777" w:rsidR="00592B4A" w:rsidRPr="00592B4A" w:rsidRDefault="00592B4A" w:rsidP="00592B4A">
      <w:pPr>
        <w:spacing w:line="240" w:lineRule="auto"/>
        <w:ind w:left="2123" w:hanging="70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1.1 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gramEnd"/>
      <w:r w:rsidRPr="00592B4A">
        <w:rPr>
          <w:rFonts w:ascii="Arial" w:eastAsia="Times New Roman" w:hAnsi="Arial" w:cs="Arial"/>
          <w:sz w:val="24"/>
          <w:szCs w:val="24"/>
          <w:lang w:eastAsia="cs-CZ"/>
        </w:rPr>
        <w:t>plní úkoly registračního úřadu pro volby do zastupitelstev městských obvodů,</w:t>
      </w:r>
    </w:p>
    <w:p w14:paraId="27BA69B1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357569B8" w14:textId="02C690A2" w:rsidR="00592B4A" w:rsidRPr="00592B4A" w:rsidRDefault="00592B4A" w:rsidP="00592B4A">
      <w:pPr>
        <w:spacing w:line="240" w:lineRule="auto"/>
        <w:ind w:left="2123" w:hanging="70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1.2 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gramEnd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plní úkoly pověřeného obecního úřadu na úseku voleb vyjma kontroly </w:t>
      </w:r>
      <w:proofErr w:type="gramStart"/>
      <w:r w:rsidRPr="00592B4A">
        <w:rPr>
          <w:rFonts w:ascii="Arial" w:eastAsia="Times New Roman" w:hAnsi="Arial" w:cs="Arial"/>
          <w:sz w:val="24"/>
          <w:szCs w:val="24"/>
          <w:lang w:eastAsia="cs-CZ"/>
        </w:rPr>
        <w:t>průběhu  a</w:t>
      </w:r>
      <w:proofErr w:type="gramEnd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 provedení voleb, zajištění a provádění školení členů okrskových volebních komisí k zásadám hlasování, zajištění školení k systému zjišťování výsledků voleb, které provádí Český statistický úřad, a informování obecních úřadů o termínech těchto školení a o účasti na těchto školeních,</w:t>
      </w:r>
    </w:p>
    <w:p w14:paraId="3F6EE8BC" w14:textId="77777777" w:rsidR="007519C5" w:rsidRDefault="007519C5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0E4B2A" w14:textId="0EE81C6E" w:rsidR="00592B4A" w:rsidRPr="00592B4A" w:rsidRDefault="00592B4A" w:rsidP="00592B4A">
      <w:pPr>
        <w:spacing w:line="240" w:lineRule="auto"/>
        <w:ind w:left="36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>_________________________________________________________________</w:t>
      </w:r>
    </w:p>
    <w:p w14:paraId="2A6673FC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592B4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4)</w:t>
      </w:r>
      <w:r w:rsidRPr="00592B4A">
        <w:rPr>
          <w:rFonts w:ascii="Arial" w:eastAsia="Times New Roman" w:hAnsi="Arial" w:cs="Arial"/>
          <w:sz w:val="20"/>
          <w:szCs w:val="20"/>
          <w:lang w:eastAsia="cs-CZ"/>
        </w:rPr>
        <w:t xml:space="preserve"> Zákon č. 62/2003 Sb., o volbách do Evropského parlamentu a o změně některých zákonů, ve znění pozdějších předpisů, zákon č. 247/1995 Sb., o volbách do Parlamentu České republiky a o změně a doplnění některých dalších zákonů, ve znění pozdějších předpisů, zákon č. 130/2000 Sb., o volbách do zastupitelstev krajů a o změně některých zákonů, ve znění pozdějších předpisů, zákon č. 491/2001 Sb., o volbách do zastupitelstev obcí a o změně některých zákonů, ve znění pozdějších předpisů, zákon č. 275/2012 Sb., o volbě prezidenta republiky a o změně některých zákonů (zákon o volbě prezidenta republiky), ve znění pozdějších předpisů, zákon č. 88/2024 Sb., o správě voleb, ve znění pozdějších předpisů a zákon č. 89/2024 Sb., kterým se mění volební a některé další zákony v souvislosti s přijetím zákona o správě voleb, ve znění pozdějších předpisů.“.</w:t>
      </w:r>
    </w:p>
    <w:p w14:paraId="377C4956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164A53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55047056" w14:textId="567003E6" w:rsidR="00592B4A" w:rsidRPr="00592B4A" w:rsidRDefault="00592B4A" w:rsidP="00592B4A">
      <w:pPr>
        <w:numPr>
          <w:ilvl w:val="0"/>
          <w:numId w:val="4"/>
        </w:numPr>
        <w:spacing w:line="240" w:lineRule="auto"/>
        <w:ind w:left="851" w:hanging="851"/>
        <w:contextualSpacing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čl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 13 odst. 2 písm. c) se na konci bodu 4 tečka nahrazuje čárkou a doplňuje se nový bod 5, který zní:</w:t>
      </w:r>
    </w:p>
    <w:p w14:paraId="26566451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5B533F6E" w14:textId="4E445621" w:rsidR="00592B4A" w:rsidRPr="00592B4A" w:rsidRDefault="00592B4A" w:rsidP="00592B4A">
      <w:pPr>
        <w:spacing w:line="240" w:lineRule="auto"/>
        <w:ind w:left="2127" w:hanging="709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„5.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plní úkoly pověřeného obecního úřadu v rozsahu kontroly průběhu a provedení voleb, zajištění a provádění školení členů okrskových volebních komisí k zásadám hlasování, zajištění školení k systému zjišťování výsledků voleb, které provádí Český statistický úřad, a informování obecních úřadů o termínech těchto školení a o účasti na těchto školeních v souladu s právními předpisy upravujícími volby</w:t>
      </w:r>
      <w:r w:rsidRPr="00592B4A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4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.“.</w:t>
      </w:r>
    </w:p>
    <w:p w14:paraId="23B54E28" w14:textId="77777777" w:rsidR="00592B4A" w:rsidRPr="00592B4A" w:rsidRDefault="00592B4A" w:rsidP="00592B4A">
      <w:pPr>
        <w:spacing w:line="240" w:lineRule="auto"/>
        <w:ind w:left="198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7D841D48" w14:textId="77777777" w:rsidR="00592B4A" w:rsidRPr="00592B4A" w:rsidRDefault="00592B4A" w:rsidP="00592B4A">
      <w:pPr>
        <w:spacing w:line="240" w:lineRule="auto"/>
        <w:ind w:left="198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6461AB" w14:textId="77777777" w:rsidR="00592B4A" w:rsidRPr="00592B4A" w:rsidRDefault="00592B4A" w:rsidP="00592B4A">
      <w:pPr>
        <w:numPr>
          <w:ilvl w:val="0"/>
          <w:numId w:val="4"/>
        </w:numPr>
        <w:spacing w:line="240" w:lineRule="auto"/>
        <w:ind w:left="851" w:hanging="851"/>
        <w:contextualSpacing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>V Příloze číslo 1 odstavec 2 zní:</w:t>
      </w:r>
    </w:p>
    <w:p w14:paraId="3603C98B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57ACF7" w14:textId="77777777" w:rsidR="00592B4A" w:rsidRPr="00592B4A" w:rsidRDefault="00592B4A" w:rsidP="00592B4A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9366E9" w14:textId="77777777" w:rsidR="00592B4A" w:rsidRPr="00592B4A" w:rsidRDefault="00592B4A" w:rsidP="00592B4A">
      <w:pPr>
        <w:ind w:left="1418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„(2) </w:t>
      </w: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Přenesenou působnost uvedenou v:</w:t>
      </w:r>
    </w:p>
    <w:p w14:paraId="51DFB0B1" w14:textId="77777777" w:rsidR="00592B4A" w:rsidRPr="00592B4A" w:rsidRDefault="00592B4A" w:rsidP="00592B4A">
      <w:pPr>
        <w:ind w:left="426" w:hanging="426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0D8A4B0C" w14:textId="1587BEDD" w:rsidR="00592B4A" w:rsidRPr="00592B4A" w:rsidRDefault="00592B4A" w:rsidP="00051F13">
      <w:pPr>
        <w:ind w:left="1701" w:hanging="283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- </w:t>
      </w:r>
      <w:r w:rsid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čl. 13 „Vnitřní věci“ písm. c) body 1 až 4 vykonávají tyto městské </w:t>
      </w:r>
      <w:r w:rsid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 </w:t>
      </w: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obvody:</w:t>
      </w:r>
    </w:p>
    <w:p w14:paraId="54303AFC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953B7ED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a)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Moravská Ostrava a Přívoz</w:t>
      </w:r>
    </w:p>
    <w:p w14:paraId="7BC3EBE4" w14:textId="3C9F3F69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pro tento městský obvod a městské obvody:</w:t>
      </w:r>
    </w:p>
    <w:p w14:paraId="263D8024" w14:textId="77777777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1.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Petřkovice,</w:t>
      </w:r>
    </w:p>
    <w:p w14:paraId="2069B7BA" w14:textId="77777777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2.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Lhotka,</w:t>
      </w:r>
    </w:p>
    <w:p w14:paraId="12BA1B76" w14:textId="77777777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3.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Hošťálkovice,</w:t>
      </w:r>
    </w:p>
    <w:p w14:paraId="08BC3CE3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38787ABA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b)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Slezská Ostrava</w:t>
      </w:r>
    </w:p>
    <w:p w14:paraId="0108F622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městský obvod:</w:t>
      </w:r>
    </w:p>
    <w:p w14:paraId="4FD7318B" w14:textId="2B892506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1. 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Michálkovice,</w:t>
      </w:r>
    </w:p>
    <w:p w14:paraId="0D948E5F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17268E88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c)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Ostrava-Jih</w:t>
      </w:r>
    </w:p>
    <w:p w14:paraId="3D36BDD7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městské obvody:</w:t>
      </w:r>
    </w:p>
    <w:p w14:paraId="781DB10D" w14:textId="16AFC95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1.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Proskovice,</w:t>
      </w:r>
    </w:p>
    <w:p w14:paraId="261E38A9" w14:textId="0E9238A5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2.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Hrabová,</w:t>
      </w:r>
    </w:p>
    <w:p w14:paraId="70706576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22F1574E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d)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Poruba</w:t>
      </w:r>
    </w:p>
    <w:p w14:paraId="1FAF137F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městské obvody:</w:t>
      </w:r>
    </w:p>
    <w:p w14:paraId="1A8B9F8B" w14:textId="360BF426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1.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Pustkovec</w:t>
      </w:r>
      <w:proofErr w:type="spellEnd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,</w:t>
      </w:r>
    </w:p>
    <w:p w14:paraId="79745802" w14:textId="266EDC82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2.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Martinov</w:t>
      </w:r>
      <w:proofErr w:type="spellEnd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,</w:t>
      </w:r>
    </w:p>
    <w:p w14:paraId="7F612D9F" w14:textId="71E8F5B5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3.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Třebovice,</w:t>
      </w:r>
    </w:p>
    <w:p w14:paraId="4E20385A" w14:textId="0B78FD94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4.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Plesná,</w:t>
      </w:r>
    </w:p>
    <w:p w14:paraId="451EBDD2" w14:textId="77777777" w:rsid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4764F50F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e)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Vítkovice</w:t>
      </w:r>
    </w:p>
    <w:p w14:paraId="071A1D24" w14:textId="77777777" w:rsidR="00051F13" w:rsidRPr="00051F13" w:rsidRDefault="00051F13" w:rsidP="00051F13">
      <w:pPr>
        <w:ind w:left="1277" w:firstLine="708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0FDC95A5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47578322" w14:textId="3968DB2D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f)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Stará Bělá</w:t>
      </w:r>
    </w:p>
    <w:p w14:paraId="034E9209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městský obvod:</w:t>
      </w:r>
    </w:p>
    <w:p w14:paraId="78451F36" w14:textId="0580F2E1" w:rsidR="00051F13" w:rsidRPr="00051F13" w:rsidRDefault="00051F13" w:rsidP="00051F13">
      <w:pPr>
        <w:pStyle w:val="Odstavecseseznamem"/>
        <w:numPr>
          <w:ilvl w:val="0"/>
          <w:numId w:val="10"/>
        </w:numPr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Nová Bělá,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</w:r>
    </w:p>
    <w:p w14:paraId="0ECB4073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2674407D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g)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 xml:space="preserve">Mariánské Hory a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Hulváky</w:t>
      </w:r>
      <w:proofErr w:type="spellEnd"/>
    </w:p>
    <w:p w14:paraId="54DAC48A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městský obvod:</w:t>
      </w:r>
    </w:p>
    <w:p w14:paraId="67B2C6C2" w14:textId="12DF5F64" w:rsidR="00051F13" w:rsidRPr="00051F13" w:rsidRDefault="00051F13" w:rsidP="00051F13">
      <w:pPr>
        <w:pStyle w:val="Odstavecseseznamem"/>
        <w:numPr>
          <w:ilvl w:val="0"/>
          <w:numId w:val="11"/>
        </w:numPr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Nová Ves,</w:t>
      </w:r>
    </w:p>
    <w:p w14:paraId="507FFE81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95388A2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h)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 xml:space="preserve">Radvanice a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Bartovice</w:t>
      </w:r>
      <w:proofErr w:type="spellEnd"/>
    </w:p>
    <w:p w14:paraId="74AD8CA9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40FA191E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5A27920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i)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Polanka nad Odrou</w:t>
      </w:r>
    </w:p>
    <w:p w14:paraId="550DA9AC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08331EA7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2C2BA71D" w14:textId="77777777" w:rsidR="00051F13" w:rsidRPr="00051F13" w:rsidRDefault="00051F13" w:rsidP="00B13552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j)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Svinov</w:t>
      </w:r>
    </w:p>
    <w:p w14:paraId="21B6D117" w14:textId="77777777" w:rsidR="00051F13" w:rsidRPr="00051F13" w:rsidRDefault="00051F13" w:rsidP="00B13552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pro tento městský obvod a městský obvod: </w:t>
      </w:r>
    </w:p>
    <w:p w14:paraId="0D6DCF8C" w14:textId="7E182CB7" w:rsidR="00592B4A" w:rsidRPr="00B13552" w:rsidRDefault="00B13552" w:rsidP="00B13552">
      <w:pPr>
        <w:pStyle w:val="Odstavecseseznamem"/>
        <w:numPr>
          <w:ilvl w:val="0"/>
          <w:numId w:val="12"/>
        </w:numPr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="00051F13" w:rsidRPr="00B13552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Krásné Pole.</w:t>
      </w:r>
    </w:p>
    <w:p w14:paraId="5AC2A567" w14:textId="77777777" w:rsidR="00051F13" w:rsidRDefault="00051F1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9BB678F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- čl. 13 „Vnitřní věci“ písm. c) bod 5 vykonávají tyto městské obvody:</w:t>
      </w:r>
    </w:p>
    <w:p w14:paraId="0580CCDE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3940140D" w14:textId="77777777" w:rsidR="00344650" w:rsidRPr="00344650" w:rsidRDefault="00344650" w:rsidP="00344650">
      <w:pPr>
        <w:ind w:left="1843" w:hanging="425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a)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Moravská Ostrava a Přívoz</w:t>
      </w:r>
    </w:p>
    <w:p w14:paraId="6A4E016D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4D99901C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173A5006" w14:textId="77777777" w:rsidR="00344650" w:rsidRPr="00344650" w:rsidRDefault="00344650" w:rsidP="00344650">
      <w:pPr>
        <w:ind w:left="1843" w:hanging="425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b)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Ostrava-Jih</w:t>
      </w:r>
    </w:p>
    <w:p w14:paraId="331CC574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71CFD3B8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4CFA3F37" w14:textId="77777777" w:rsidR="00344650" w:rsidRPr="00344650" w:rsidRDefault="00344650" w:rsidP="00344650">
      <w:pPr>
        <w:ind w:left="1843" w:hanging="425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c)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Poruba</w:t>
      </w:r>
    </w:p>
    <w:p w14:paraId="3758071C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471586C0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1FDF5BD4" w14:textId="77777777" w:rsidR="00344650" w:rsidRPr="00344650" w:rsidRDefault="00344650" w:rsidP="00344650">
      <w:pPr>
        <w:ind w:left="1843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d)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Slezská Ostrava</w:t>
      </w:r>
    </w:p>
    <w:p w14:paraId="56D292F4" w14:textId="77777777" w:rsidR="00344650" w:rsidRPr="00344650" w:rsidRDefault="00344650" w:rsidP="00344650">
      <w:pPr>
        <w:ind w:left="1561"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obvod.“.</w:t>
      </w:r>
    </w:p>
    <w:p w14:paraId="00AA9062" w14:textId="77777777" w:rsidR="007519C5" w:rsidRPr="00344650" w:rsidRDefault="007519C5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7575348" w14:textId="77777777" w:rsidR="007519C5" w:rsidRDefault="007519C5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3313A1D" w14:textId="77777777" w:rsidR="00B13552" w:rsidRPr="00B13552" w:rsidRDefault="00B13552" w:rsidP="008261F5">
      <w:pPr>
        <w:pStyle w:val="Odstavecseseznamem"/>
        <w:numPr>
          <w:ilvl w:val="0"/>
          <w:numId w:val="21"/>
        </w:numPr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22 zní:</w:t>
      </w:r>
    </w:p>
    <w:p w14:paraId="328F398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B9E1B4D" w14:textId="77777777" w:rsidR="00B13552" w:rsidRPr="00B13552" w:rsidRDefault="00B13552" w:rsidP="00B13552">
      <w:pPr>
        <w:pStyle w:val="Odstavecseseznamem"/>
        <w:jc w:val="center"/>
        <w:rPr>
          <w:rFonts w:ascii="Arial" w:eastAsia="Calibri" w:hAnsi="Arial" w:cs="Arial"/>
          <w:b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/>
          <w:sz w:val="24"/>
          <w:szCs w:val="24"/>
          <w14:ligatures w14:val="standardContextual"/>
        </w:rPr>
        <w:t>„Článek 22</w:t>
      </w:r>
    </w:p>
    <w:p w14:paraId="3B8A221A" w14:textId="77777777" w:rsidR="00B13552" w:rsidRPr="00B13552" w:rsidRDefault="00B13552" w:rsidP="00B13552">
      <w:pPr>
        <w:pStyle w:val="Odstavecseseznamem"/>
        <w:jc w:val="center"/>
        <w:rPr>
          <w:rFonts w:ascii="Arial" w:eastAsia="Calibri" w:hAnsi="Arial" w:cs="Arial"/>
          <w:b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/>
          <w:sz w:val="24"/>
          <w:szCs w:val="24"/>
          <w14:ligatures w14:val="standardContextual"/>
        </w:rPr>
        <w:t>Stavební řád</w:t>
      </w:r>
    </w:p>
    <w:p w14:paraId="3D4B241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6B3C49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988DC72" w14:textId="77777777" w:rsidR="00B13552" w:rsidRPr="00B13552" w:rsidRDefault="00B13552" w:rsidP="00B13552">
      <w:pPr>
        <w:pStyle w:val="Odstavecseseznamem"/>
        <w:ind w:left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Působnost městských obvodů</w:t>
      </w:r>
    </w:p>
    <w:p w14:paraId="527DDF3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1E9776E" w14:textId="77777777" w:rsidR="00B13552" w:rsidRPr="00B13552" w:rsidRDefault="00B13552" w:rsidP="00B13552">
      <w:pPr>
        <w:pStyle w:val="Odstavecseseznamem"/>
        <w:numPr>
          <w:ilvl w:val="0"/>
          <w:numId w:val="14"/>
        </w:numPr>
        <w:ind w:left="567" w:hanging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Samostatná působnost:</w:t>
      </w:r>
    </w:p>
    <w:p w14:paraId="34979C1D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74CE69E" w14:textId="77777777" w:rsidR="00B13552" w:rsidRPr="00B13552" w:rsidRDefault="00B13552" w:rsidP="00B13552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realizují práva a povinnosti účastníka řízení v případech: </w:t>
      </w:r>
    </w:p>
    <w:p w14:paraId="1C380C5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D3D8639" w14:textId="77777777" w:rsidR="00B13552" w:rsidRPr="00B13552" w:rsidRDefault="00B13552" w:rsidP="00B13552">
      <w:pPr>
        <w:pStyle w:val="Odstavecseseznamem"/>
        <w:numPr>
          <w:ilvl w:val="1"/>
          <w:numId w:val="15"/>
        </w:numPr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kdy stavební zákon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nebo zákon o pozemních komunikacích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35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přiznává postavení účastníka řízení obci, má-li se stavba nebo záměr uskutečnit na území daného městského obvodu a je-li dána působnost městských obvodů uvedených v Příloze číslo 1 dle písmene b);</w:t>
      </w:r>
    </w:p>
    <w:p w14:paraId="2C5309C8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8AB05AB" w14:textId="77777777" w:rsidR="00B13552" w:rsidRPr="00B13552" w:rsidRDefault="00B13552" w:rsidP="00B13552">
      <w:pPr>
        <w:pStyle w:val="Odstavecseseznamem"/>
        <w:numPr>
          <w:ilvl w:val="1"/>
          <w:numId w:val="15"/>
        </w:numPr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kdy postavení účastníka řízení souvisí s výkonem vlastnických nebo jiných práv ke stavbě nebo pozemku, jde-li o svěřený majetek; postavení účastníka řízení vedených podle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 xml:space="preserve">43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městské obvody realizují pouze v rozsahu jim svěřených práv a povinností k tomuto majetku;</w:t>
      </w:r>
    </w:p>
    <w:p w14:paraId="2405139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C9A58D2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2.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Výkon působnosti uvedené v bodě 1 tohoto písm. a) však městskému obvodu nenáleží, pokud se řízení vedené podle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bude dotýkat:</w:t>
      </w:r>
    </w:p>
    <w:p w14:paraId="714785A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FDF929D" w14:textId="77777777" w:rsidR="00B13552" w:rsidRPr="00B13552" w:rsidRDefault="00B13552" w:rsidP="00A1378A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2.1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jakýchkoliv práv a povinností založených smlouvou o převodu vlastnického práva k nemovité věci nebo k nemovitým věcem, o jejímž uzavření rozhodlo zastupitelstvo města, a zároveň rozhodne-li tak v konkrétním případě příslušný orgán města nebo</w:t>
      </w:r>
    </w:p>
    <w:p w14:paraId="1F08725F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218581E" w14:textId="1289DE65" w:rsidR="00B13552" w:rsidRPr="00B13552" w:rsidRDefault="00B13552" w:rsidP="00A1378A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proofErr w:type="gram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2.2  záležitosti</w:t>
      </w:r>
      <w:proofErr w:type="gram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zvláštního významu pro město v oblasti vědy, výzkumu, životního prostředí, zaměstnanosti v rámci průmyslových a obdobných zón, sociální péče, zdravotnictví a dopravy, rozhodne-li tak v konkrétním případě příslušný orgán, jímž je pro účely tohoto bodu zastupitelstvo města. Zastupitelstvo města je zároveň příslušné rozhodnout o tom, zda jde o záležitost zvláštního významu pro město ve výše uvedených oblastech a zda se v konkrétním případě dané řízení takovéto záležitosti dotýká nebo</w:t>
      </w:r>
    </w:p>
    <w:p w14:paraId="1AF933D1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545A640" w14:textId="415B2AD4" w:rsidR="00B13552" w:rsidRPr="00B13552" w:rsidRDefault="00B13552" w:rsidP="00A1378A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lastRenderedPageBreak/>
        <w:t xml:space="preserve">2.3 </w:t>
      </w:r>
      <w:r w:rsidR="00A1378A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případu, kdy stavebník bude prokazovat své právo provést stavbu na svěřeném majetku smlouvou, o jejímž uzavření je oprávněn rozhodnout příslušný orgán města;</w:t>
      </w:r>
    </w:p>
    <w:p w14:paraId="3C07D07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2D58907" w14:textId="77777777" w:rsidR="00B13552" w:rsidRPr="00B13552" w:rsidRDefault="00B13552" w:rsidP="00A1378A">
      <w:pPr>
        <w:pStyle w:val="Odstavecseseznamem"/>
        <w:ind w:left="567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Ve všech případech uvedených v tomto bodě 2 si příslušný orgán města zajišťující účastenství města v daném řízení před realizací práv účastníka řízení vyžádá na počátku tohoto řízení předchozí stanovisko městského obvodu.</w:t>
      </w:r>
    </w:p>
    <w:p w14:paraId="24F68791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0BB9E18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přijímají písemnosti v souladu s § 295 odst. 6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</w:t>
      </w:r>
    </w:p>
    <w:p w14:paraId="58ACBF15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62B6397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4.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plní úkoly při označování domů čísly popisnými, orientačními a evidenčními v souladu s </w:t>
      </w:r>
      <w:proofErr w:type="gram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§  31</w:t>
      </w:r>
      <w:proofErr w:type="gram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odst. 5 a § 31a zákona o obcích a při přečíslování budov v souladu s § 32 odst. 2 zákona o obcích.</w:t>
      </w:r>
    </w:p>
    <w:p w14:paraId="79988553" w14:textId="77777777" w:rsid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B3FA986" w14:textId="77777777" w:rsidR="00B13552" w:rsidRPr="00B13552" w:rsidRDefault="00B13552" w:rsidP="00A1378A">
      <w:pPr>
        <w:pStyle w:val="Odstavecseseznamem"/>
        <w:numPr>
          <w:ilvl w:val="0"/>
          <w:numId w:val="14"/>
        </w:numPr>
        <w:ind w:left="567" w:hanging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Přenesená působnost svěřená městským obvodům uvedeným v Příloze č. 1:</w:t>
      </w:r>
    </w:p>
    <w:p w14:paraId="04577AEF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B13E30A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vykonávají působnost obecního stavebního úřadu ve věcech stavebního řádu ve smyslu § 30 odst. 1 písm. f) a § 34a odst. 1 písm. a) a </w:t>
      </w:r>
      <w:proofErr w:type="gram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34a</w:t>
      </w:r>
      <w:proofErr w:type="gram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odst. 2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: </w:t>
      </w:r>
    </w:p>
    <w:p w14:paraId="34F9C3A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CD3F9BE" w14:textId="77777777" w:rsidR="00B13552" w:rsidRPr="00B13552" w:rsidRDefault="00B13552" w:rsidP="00B13552">
      <w:pPr>
        <w:pStyle w:val="Odstavecseseznamem"/>
        <w:numPr>
          <w:ilvl w:val="1"/>
          <w:numId w:val="16"/>
        </w:numPr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 povolovacích řízeních nebo při uzavírání veřejnoprávních smluv nahrazujících povolení, jejichž předmětem jsou následující stavby (společně dále jen „svěřené stavby“)</w:t>
      </w:r>
    </w:p>
    <w:p w14:paraId="1B20D59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5AE4370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jednoduché stavby uvedené v příloze č. 2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vyjma staveb vodních děl;</w:t>
      </w:r>
    </w:p>
    <w:p w14:paraId="195E1421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silnice II. a III. třídy, místní komunikace a účelové komunikace;</w:t>
      </w:r>
    </w:p>
    <w:p w14:paraId="4936F3CE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stavby na pozemku rodinného domu nebo stavby pro rodinnou rekreaci vyjma staveb vodních děl;</w:t>
      </w:r>
    </w:p>
    <w:p w14:paraId="5C33FA0E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ostatní stavby zpevněných ploch do 1000 m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2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s odlišným účelem oproti stavbám uvedeným v příloze č. 2 odst. 1 písm. n)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;</w:t>
      </w:r>
    </w:p>
    <w:p w14:paraId="510CCB38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technická infrastruktura dle § 10 odst. 1 písm. b)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vyjma staveb vodních děl;</w:t>
      </w:r>
    </w:p>
    <w:p w14:paraId="72DCFEE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32BE2C6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1.2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povolovacích řízeních nebo při uzavírání veřejnoprávních smluv nahrazujících povolení, jejichž předmětem jsou následující záměry nestavební povahy</w:t>
      </w:r>
    </w:p>
    <w:p w14:paraId="65A78D56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7E5FA0D" w14:textId="77777777" w:rsidR="00B13552" w:rsidRPr="00B13552" w:rsidRDefault="00B13552" w:rsidP="00591CDB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změny využití území;</w:t>
      </w:r>
    </w:p>
    <w:p w14:paraId="7CB6AE71" w14:textId="77777777" w:rsidR="00B13552" w:rsidRPr="00B13552" w:rsidRDefault="00B13552" w:rsidP="00591CDB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dělení a scelování pozemků;</w:t>
      </w:r>
    </w:p>
    <w:p w14:paraId="074F3092" w14:textId="77777777" w:rsidR="00B13552" w:rsidRPr="00B13552" w:rsidRDefault="00B13552" w:rsidP="00591CDB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stanovení ochranného pásma pro svěřenou stavbu;</w:t>
      </w:r>
    </w:p>
    <w:p w14:paraId="04070CE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D86FF25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1.3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povolovacích řízeních nebo při uzavírání veřejnoprávních smluv, jejichž předmětem je soubor staveb, kde stavbou hlavní je svěřená stavba; obdobně se postupuje i u souborů staveb, kde stavbou hlavní je změna dokončené stavby dle bodu 1.4;</w:t>
      </w:r>
    </w:p>
    <w:p w14:paraId="5EF6E04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00688E3" w14:textId="5C26D252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1.4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řízeních nebo při uzavírání veřejnoprávních smluv o povolení změny dokončené stavby dle § 6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včetně rekolaudace dle § 239 až 246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vyjma změn dokončených staveb vodních děl, o jejichž povolení je žádáno samostatně, a postupů dle §</w:t>
      </w:r>
      <w:r w:rsidR="00591CDB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3a zákona č. 274/2001 Sb., o vodovodech a kanalizacích pro veřejnou potřebu a o změně některých zákonů;</w:t>
      </w:r>
    </w:p>
    <w:p w14:paraId="25D5CA70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5C3EFA0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1.5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řízeních nebo při uzavírání veřejnoprávních smluv navazujících na pravomocné rozhodnutí o povolení záměru vydané úřadem městského obvodu nebo veřejnoprávní smlouvu uzavřenou městským obvodem (zejména změna a zrušení povolení dle § 200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změna záměru před dokončením dle § 224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kolaudace dle § 230 a násl.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předčasné užívání a zkušební povoz dle § 236 a násl.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);</w:t>
      </w:r>
    </w:p>
    <w:p w14:paraId="18CC904D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AC89A85" w14:textId="6CD5FFA9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1.6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řízeních o povolení odstranění nebo nařízení odstranění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svěřených staveb a záměrů nestavební povahy dle písm. b) bodu 1.1 a 1.2 tohoto článku, a v</w:t>
      </w:r>
      <w:r w:rsidR="00591CDB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souvisejících postupech dle § 247 až 261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;</w:t>
      </w:r>
    </w:p>
    <w:p w14:paraId="7CDCDFE1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085B133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1.7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při mimořádných postupech ve věci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svěřených staveb a záměrů nestavební povahy dle písm. b) bodu 1.1 a 1.2 tohoto článku dle § 263 až 265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.</w:t>
      </w:r>
    </w:p>
    <w:p w14:paraId="63EBD21C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8E85B2E" w14:textId="3506ABC5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2.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vydávají předběžné informace dle § 174 odst.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k</w:t>
      </w:r>
      <w:r w:rsidR="00591CDB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záměrům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svěřených staveb a záměrům nestavební povahy dle písm. b) bodu 1.1 a 1.2 tohoto článku.</w:t>
      </w:r>
    </w:p>
    <w:p w14:paraId="34FED9D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FF7D6B0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vykonávají kontrolu a dle § 34a odst. 1 písm. b) ve spojení s § 291 až 293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a vydávají opatření dle § 294 až 297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.</w:t>
      </w:r>
    </w:p>
    <w:p w14:paraId="51F3DFA6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3D7C89C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3.1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 staveb, pro které vydaly konečné rozhodnutí anebo jiný úkon opravňující k jejich realizaci;</w:t>
      </w:r>
    </w:p>
    <w:p w14:paraId="5837D25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08CA932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3.2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a svěřených staveb a záměrů nestavební povahy dle písm. b) odst. 1.1 a 1.2 tohoto článku.</w:t>
      </w:r>
    </w:p>
    <w:p w14:paraId="5F43C458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5D05470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4.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ukládají rozhodnutím podle § 3 odst. 8 zákona č. 274/2001 Sb., o vodovodech a kanalizacích pro veřejnou potřebu a o změně některých zákonů, ve znění pozdějších předpisů, vlastníkům stavebního pozemku nebo staveb, na kterých vznikají nebo mohou vznikat odpadní vody, povinnost připojit se na kanalizaci v případech, kdy je to technicky možné.</w:t>
      </w:r>
    </w:p>
    <w:p w14:paraId="644418D0" w14:textId="77777777" w:rsid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378D262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5.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vykonávají působnost podle § 42 a § 44 zákona č. 111/2009 Sb., o základních registrech, ve znění pozdějších předpisů ve věci svěřených staveb.</w:t>
      </w:r>
    </w:p>
    <w:p w14:paraId="6D2BC5E0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3531F21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6.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svěřené obecním stavebním úřadům zvláštními zákony ve věci svěřených staveb.</w:t>
      </w:r>
    </w:p>
    <w:p w14:paraId="66DE1F76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269CFF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05C890D" w14:textId="77777777" w:rsidR="00B13552" w:rsidRPr="00B13552" w:rsidRDefault="00B13552" w:rsidP="00591CDB">
      <w:pPr>
        <w:pStyle w:val="Odstavecseseznamem"/>
        <w:numPr>
          <w:ilvl w:val="0"/>
          <w:numId w:val="14"/>
        </w:numPr>
        <w:spacing w:before="120"/>
        <w:ind w:left="567" w:hanging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Přechodné ustanovení</w:t>
      </w:r>
    </w:p>
    <w:p w14:paraId="5902B2D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7935990" w14:textId="4186C5AB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Řízení a postupy zahájené do 1. </w:t>
      </w:r>
      <w:r w:rsidR="00ED341C">
        <w:rPr>
          <w:rFonts w:ascii="Arial" w:eastAsia="Calibri" w:hAnsi="Arial" w:cs="Arial"/>
          <w:bCs/>
          <w:sz w:val="24"/>
          <w:szCs w:val="24"/>
          <w14:ligatures w14:val="standardContextual"/>
        </w:rPr>
        <w:t>7.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2025 se dokončí dle dosavadních právních předpisů.“.</w:t>
      </w:r>
    </w:p>
    <w:p w14:paraId="4ADFCE6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8DE81C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96DED80" w14:textId="099E07EA" w:rsidR="00B13552" w:rsidRPr="00B13552" w:rsidRDefault="00B13552" w:rsidP="008261F5">
      <w:pPr>
        <w:pStyle w:val="Odstavecseseznamem"/>
        <w:numPr>
          <w:ilvl w:val="0"/>
          <w:numId w:val="21"/>
        </w:numPr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 Příloze číslo 1 v odst. 4 se zrušuje text:</w:t>
      </w:r>
    </w:p>
    <w:p w14:paraId="793CFFEB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432D1F5" w14:textId="77777777" w:rsidR="00B13552" w:rsidRPr="00B13552" w:rsidRDefault="00B13552" w:rsidP="002313E9">
      <w:pPr>
        <w:pStyle w:val="Odstavecseseznamem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„Speciální ustanovení k tomuto odstavci:</w:t>
      </w:r>
    </w:p>
    <w:p w14:paraId="1CAD79F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62C1FDE" w14:textId="77777777" w:rsidR="00B13552" w:rsidRPr="00B13552" w:rsidRDefault="00B13552" w:rsidP="002313E9">
      <w:pPr>
        <w:pStyle w:val="Odstavecseseznamem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působnost podle odrážky druhé nevykonává městský obvod </w:t>
      </w:r>
      <w:proofErr w:type="spell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Martinov</w:t>
      </w:r>
      <w:proofErr w:type="spell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a pro tento městský obvod ji vykonává městský obvod Poruba.“.</w:t>
      </w:r>
    </w:p>
    <w:p w14:paraId="25CF5128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D69264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5EE34DA" w14:textId="77777777" w:rsidR="00B13552" w:rsidRPr="00B13552" w:rsidRDefault="00B13552" w:rsidP="008261F5">
      <w:pPr>
        <w:pStyle w:val="Odstavecseseznamem"/>
        <w:numPr>
          <w:ilvl w:val="0"/>
          <w:numId w:val="21"/>
        </w:numPr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 Příloze číslo 1 v odst. 11 odrážka druhá zní:</w:t>
      </w:r>
    </w:p>
    <w:p w14:paraId="7E6E7ED6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004CA4E" w14:textId="4224E01D" w:rsidR="00B13552" w:rsidRPr="00B13552" w:rsidRDefault="00B13552" w:rsidP="002313E9">
      <w:pPr>
        <w:pStyle w:val="Odstavecseseznamem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„- </w:t>
      </w:r>
      <w:r w:rsidR="002313E9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čl. 22 „Stavební řád“ písm. b),“.</w:t>
      </w:r>
    </w:p>
    <w:p w14:paraId="02D2083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7683534" w14:textId="77777777" w:rsidR="00051F13" w:rsidRDefault="00051F1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F12266B" w14:textId="77777777" w:rsidR="008261F5" w:rsidRDefault="008261F5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D0A0791" w14:textId="77777777" w:rsidR="00051F13" w:rsidRDefault="00051F1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5C2B6DA" w14:textId="77777777" w:rsidR="00344650" w:rsidRDefault="00344650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4472E35" w14:textId="77777777" w:rsidR="00B21963" w:rsidRDefault="00B2196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F186FBD" w14:textId="77777777" w:rsidR="00B21963" w:rsidRDefault="00B2196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DA4C1CF" w14:textId="77777777" w:rsidR="00B21963" w:rsidRDefault="00B2196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0C38D6A" w14:textId="77777777" w:rsidR="00B21963" w:rsidRDefault="00B2196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DF3122B" w14:textId="77777777" w:rsidR="00344650" w:rsidRDefault="00344650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0D43D797" w14:textId="141915E7" w:rsidR="00F5309B" w:rsidRPr="00F5309B" w:rsidRDefault="00F5309B" w:rsidP="00F5309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F5309B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 dne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D341C">
        <w:rPr>
          <w:rFonts w:ascii="Arial" w:eastAsia="Times New Roman" w:hAnsi="Arial" w:cs="Arial"/>
          <w:sz w:val="24"/>
          <w:szCs w:val="24"/>
          <w:lang w:eastAsia="cs-CZ"/>
        </w:rPr>
        <w:t>1. 1. 2026.</w:t>
      </w:r>
    </w:p>
    <w:p w14:paraId="7EF13397" w14:textId="37537953" w:rsidR="00B3711A" w:rsidRPr="002945F4" w:rsidRDefault="00B3711A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5936E9" w14:textId="77777777" w:rsidR="002313E9" w:rsidRDefault="002313E9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F9AB84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BF062EC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B6BCC3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CA6C5E" w14:textId="77777777" w:rsidR="00B21963" w:rsidRDefault="00B21963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169943" w14:textId="77777777" w:rsidR="00ED341C" w:rsidRDefault="00ED341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DE6911" w14:textId="77777777" w:rsidR="00B21963" w:rsidRDefault="00B21963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D6BA13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80233A" w14:textId="77777777" w:rsidR="007519C5" w:rsidRDefault="007519C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D8BF8A" w14:textId="77777777" w:rsidR="006A171F" w:rsidRDefault="006A171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3C089B49" w:rsidR="002945F4" w:rsidRPr="002945F4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  <w:r w:rsidR="00D61A9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48F48FCC" w14:textId="77777777" w:rsidR="00DB246C" w:rsidRDefault="00DB246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CF3DAE" w14:textId="77777777" w:rsidR="00DB246C" w:rsidRDefault="00DB246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84CC46" w14:textId="77777777" w:rsidR="007519C5" w:rsidRDefault="007519C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95BF5D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DD15DEE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E07C34E" w14:textId="77777777" w:rsidR="00ED341C" w:rsidRDefault="00ED341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0B2C42" w14:textId="77777777" w:rsidR="00ED341C" w:rsidRDefault="00ED341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A973AE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9BFB583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AD452F" w14:textId="77777777" w:rsidR="00DB246C" w:rsidRDefault="00DB246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DD1844" w14:textId="77777777" w:rsidR="00DB246C" w:rsidRPr="00DB246C" w:rsidRDefault="00DB246C" w:rsidP="00DB246C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 xml:space="preserve">Ing. Lucie Baránková </w:t>
      </w:r>
      <w:proofErr w:type="spellStart"/>
      <w:r w:rsidRPr="00DB246C">
        <w:rPr>
          <w:rFonts w:ascii="Arial" w:eastAsia="Times New Roman" w:hAnsi="Arial" w:cs="Arial"/>
          <w:sz w:val="24"/>
          <w:szCs w:val="24"/>
          <w:lang w:eastAsia="cs-CZ"/>
        </w:rPr>
        <w:t>Vilamová</w:t>
      </w:r>
      <w:proofErr w:type="spellEnd"/>
      <w:r w:rsidRPr="00DB246C">
        <w:rPr>
          <w:rFonts w:ascii="Arial" w:eastAsia="Times New Roman" w:hAnsi="Arial" w:cs="Arial"/>
          <w:sz w:val="24"/>
          <w:szCs w:val="24"/>
          <w:lang w:eastAsia="cs-CZ"/>
        </w:rPr>
        <w:t>, Ph.D.</w:t>
      </w:r>
    </w:p>
    <w:p w14:paraId="45C6CF0F" w14:textId="409C6FE5" w:rsidR="00E877D2" w:rsidRDefault="00DB246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>náměstkyně primátora</w:t>
      </w:r>
    </w:p>
    <w:sectPr w:rsidR="00E877D2" w:rsidSect="00F25F69">
      <w:headerReference w:type="default" r:id="rId8"/>
      <w:footerReference w:type="even" r:id="rId9"/>
      <w:footerReference w:type="default" r:id="rId10"/>
      <w:pgSz w:w="11906" w:h="16838" w:code="9"/>
      <w:pgMar w:top="1092" w:right="1134" w:bottom="1702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8479" w14:textId="77777777" w:rsidR="00BB1990" w:rsidRDefault="00BB1990">
      <w:pPr>
        <w:spacing w:line="240" w:lineRule="auto"/>
      </w:pPr>
      <w:r>
        <w:separator/>
      </w:r>
    </w:p>
  </w:endnote>
  <w:endnote w:type="continuationSeparator" w:id="0">
    <w:p w14:paraId="5CFB519F" w14:textId="77777777" w:rsidR="00BB1990" w:rsidRDefault="00BB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85558"/>
      <w:docPartObj>
        <w:docPartGallery w:val="Page Numbers (Bottom of Page)"/>
        <w:docPartUnique/>
      </w:docPartObj>
    </w:sdtPr>
    <w:sdtEndPr/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2026573272" name="Obrázek 202657327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4F36" w14:textId="77777777" w:rsidR="00BB1990" w:rsidRDefault="00BB1990">
      <w:pPr>
        <w:spacing w:line="240" w:lineRule="auto"/>
      </w:pPr>
      <w:r>
        <w:separator/>
      </w:r>
    </w:p>
  </w:footnote>
  <w:footnote w:type="continuationSeparator" w:id="0">
    <w:p w14:paraId="13E64CC3" w14:textId="77777777" w:rsidR="00BB1990" w:rsidRDefault="00BB1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203799B3" w:rsidR="008B5019" w:rsidRDefault="003544ED" w:rsidP="003544ED">
    <w:pPr>
      <w:pStyle w:val="Zhlav"/>
      <w:ind w:left="0" w:firstLine="0"/>
    </w:pPr>
    <w:r>
      <w:tab/>
    </w:r>
    <w:r w:rsidR="00DB246C">
      <w:tab/>
      <w:t xml:space="preserve">Příloha </w:t>
    </w:r>
    <w:r w:rsidR="00ED341C">
      <w:t>č. 1</w:t>
    </w:r>
    <w:r>
      <w:tab/>
    </w:r>
    <w:r w:rsidR="00887801">
      <w:t xml:space="preserve">     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618"/>
    <w:multiLevelType w:val="hybridMultilevel"/>
    <w:tmpl w:val="1CB4ADC0"/>
    <w:lvl w:ilvl="0" w:tplc="69BA800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1019DB"/>
    <w:multiLevelType w:val="hybridMultilevel"/>
    <w:tmpl w:val="1E5897D0"/>
    <w:lvl w:ilvl="0" w:tplc="F26EEF6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2E2"/>
    <w:multiLevelType w:val="hybridMultilevel"/>
    <w:tmpl w:val="72F0D828"/>
    <w:lvl w:ilvl="0" w:tplc="A73663C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4" w15:restartNumberingAfterBreak="0">
    <w:nsid w:val="18A94FAB"/>
    <w:multiLevelType w:val="multilevel"/>
    <w:tmpl w:val="4F30553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26F0711A"/>
    <w:multiLevelType w:val="hybridMultilevel"/>
    <w:tmpl w:val="BC30383C"/>
    <w:lvl w:ilvl="0" w:tplc="563A499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A523741"/>
    <w:multiLevelType w:val="hybridMultilevel"/>
    <w:tmpl w:val="F59E45F8"/>
    <w:lvl w:ilvl="0" w:tplc="3EE08C76">
      <w:start w:val="1"/>
      <w:numFmt w:val="decimal"/>
      <w:lvlText w:val="(%1)"/>
      <w:lvlJc w:val="left"/>
      <w:pPr>
        <w:ind w:left="23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4D78"/>
    <w:multiLevelType w:val="hybridMultilevel"/>
    <w:tmpl w:val="035AE7FA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12A44"/>
    <w:multiLevelType w:val="hybridMultilevel"/>
    <w:tmpl w:val="0B24BFA4"/>
    <w:lvl w:ilvl="0" w:tplc="A954A5EC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9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0" w15:restartNumberingAfterBreak="0">
    <w:nsid w:val="3CF7087D"/>
    <w:multiLevelType w:val="hybridMultilevel"/>
    <w:tmpl w:val="01241842"/>
    <w:lvl w:ilvl="0" w:tplc="06CE7828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1" w15:restartNumberingAfterBreak="0">
    <w:nsid w:val="3EB72DF3"/>
    <w:multiLevelType w:val="hybridMultilevel"/>
    <w:tmpl w:val="0C904F16"/>
    <w:lvl w:ilvl="0" w:tplc="CE06454A">
      <w:start w:val="6"/>
      <w:numFmt w:val="decimal"/>
      <w:lvlText w:val="(%1)"/>
      <w:lvlJc w:val="left"/>
      <w:pPr>
        <w:ind w:left="23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0ECE"/>
    <w:multiLevelType w:val="hybridMultilevel"/>
    <w:tmpl w:val="39920862"/>
    <w:lvl w:ilvl="0" w:tplc="DD326F8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47FB5"/>
    <w:multiLevelType w:val="hybridMultilevel"/>
    <w:tmpl w:val="434C4B22"/>
    <w:lvl w:ilvl="0" w:tplc="AF98FB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2650E"/>
    <w:multiLevelType w:val="hybridMultilevel"/>
    <w:tmpl w:val="40464D8E"/>
    <w:lvl w:ilvl="0" w:tplc="9714581A">
      <w:start w:val="5"/>
      <w:numFmt w:val="decimal"/>
      <w:lvlText w:val="(%1)"/>
      <w:lvlJc w:val="left"/>
      <w:pPr>
        <w:ind w:left="23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7E58"/>
    <w:multiLevelType w:val="hybridMultilevel"/>
    <w:tmpl w:val="B63CA582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E76B4"/>
    <w:multiLevelType w:val="hybridMultilevel"/>
    <w:tmpl w:val="7038AEC4"/>
    <w:lvl w:ilvl="0" w:tplc="9D78985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AD35A2"/>
    <w:multiLevelType w:val="hybridMultilevel"/>
    <w:tmpl w:val="E7A43346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35C9A"/>
    <w:multiLevelType w:val="hybridMultilevel"/>
    <w:tmpl w:val="BD08515C"/>
    <w:lvl w:ilvl="0" w:tplc="4F2E144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9" w15:restartNumberingAfterBreak="0">
    <w:nsid w:val="56D31E1D"/>
    <w:multiLevelType w:val="multilevel"/>
    <w:tmpl w:val="57A247E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798B1F3F"/>
    <w:multiLevelType w:val="hybridMultilevel"/>
    <w:tmpl w:val="33247816"/>
    <w:lvl w:ilvl="0" w:tplc="49A823C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6AEE9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934617">
    <w:abstractNumId w:val="3"/>
  </w:num>
  <w:num w:numId="2" w16cid:durableId="1946115439">
    <w:abstractNumId w:val="9"/>
  </w:num>
  <w:num w:numId="3" w16cid:durableId="1370644223">
    <w:abstractNumId w:val="17"/>
  </w:num>
  <w:num w:numId="4" w16cid:durableId="1687291088">
    <w:abstractNumId w:val="12"/>
  </w:num>
  <w:num w:numId="5" w16cid:durableId="2098672413">
    <w:abstractNumId w:val="20"/>
  </w:num>
  <w:num w:numId="6" w16cid:durableId="589430972">
    <w:abstractNumId w:val="16"/>
  </w:num>
  <w:num w:numId="7" w16cid:durableId="1585142833">
    <w:abstractNumId w:val="10"/>
  </w:num>
  <w:num w:numId="8" w16cid:durableId="765737353">
    <w:abstractNumId w:val="8"/>
  </w:num>
  <w:num w:numId="9" w16cid:durableId="1173492312">
    <w:abstractNumId w:val="18"/>
  </w:num>
  <w:num w:numId="10" w16cid:durableId="586815250">
    <w:abstractNumId w:val="2"/>
  </w:num>
  <w:num w:numId="11" w16cid:durableId="1368993605">
    <w:abstractNumId w:val="0"/>
  </w:num>
  <w:num w:numId="12" w16cid:durableId="500970329">
    <w:abstractNumId w:val="5"/>
  </w:num>
  <w:num w:numId="13" w16cid:durableId="855073955">
    <w:abstractNumId w:val="1"/>
  </w:num>
  <w:num w:numId="14" w16cid:durableId="1269695559">
    <w:abstractNumId w:val="13"/>
  </w:num>
  <w:num w:numId="15" w16cid:durableId="869564081">
    <w:abstractNumId w:val="4"/>
  </w:num>
  <w:num w:numId="16" w16cid:durableId="2067096964">
    <w:abstractNumId w:val="19"/>
  </w:num>
  <w:num w:numId="17" w16cid:durableId="1231967943">
    <w:abstractNumId w:val="15"/>
  </w:num>
  <w:num w:numId="18" w16cid:durableId="1269309788">
    <w:abstractNumId w:val="7"/>
  </w:num>
  <w:num w:numId="19" w16cid:durableId="1762020864">
    <w:abstractNumId w:val="6"/>
  </w:num>
  <w:num w:numId="20" w16cid:durableId="1234046143">
    <w:abstractNumId w:val="11"/>
  </w:num>
  <w:num w:numId="21" w16cid:durableId="9719775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0656F"/>
    <w:rsid w:val="00013B0F"/>
    <w:rsid w:val="00016DA8"/>
    <w:rsid w:val="00026916"/>
    <w:rsid w:val="00051F13"/>
    <w:rsid w:val="0005462D"/>
    <w:rsid w:val="0006269C"/>
    <w:rsid w:val="00070BFB"/>
    <w:rsid w:val="0007422D"/>
    <w:rsid w:val="00081B6B"/>
    <w:rsid w:val="00082DC7"/>
    <w:rsid w:val="00087E69"/>
    <w:rsid w:val="000A1419"/>
    <w:rsid w:val="000C0568"/>
    <w:rsid w:val="000C39E0"/>
    <w:rsid w:val="000C6F98"/>
    <w:rsid w:val="000C7B84"/>
    <w:rsid w:val="000E0B9E"/>
    <w:rsid w:val="000E6044"/>
    <w:rsid w:val="000F263C"/>
    <w:rsid w:val="000F7487"/>
    <w:rsid w:val="00103D44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3994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1F65A7"/>
    <w:rsid w:val="00200223"/>
    <w:rsid w:val="00206BBE"/>
    <w:rsid w:val="00216F39"/>
    <w:rsid w:val="002313E9"/>
    <w:rsid w:val="00236ACA"/>
    <w:rsid w:val="00237E70"/>
    <w:rsid w:val="002403FA"/>
    <w:rsid w:val="00240515"/>
    <w:rsid w:val="002420A3"/>
    <w:rsid w:val="00255600"/>
    <w:rsid w:val="00264EF5"/>
    <w:rsid w:val="0027797A"/>
    <w:rsid w:val="002857B3"/>
    <w:rsid w:val="002945F4"/>
    <w:rsid w:val="002B6A21"/>
    <w:rsid w:val="002D319B"/>
    <w:rsid w:val="002E1E17"/>
    <w:rsid w:val="002E3873"/>
    <w:rsid w:val="002F08EC"/>
    <w:rsid w:val="002F46AA"/>
    <w:rsid w:val="0030662E"/>
    <w:rsid w:val="0032134E"/>
    <w:rsid w:val="003370BF"/>
    <w:rsid w:val="00337366"/>
    <w:rsid w:val="003418D6"/>
    <w:rsid w:val="00344650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C5DF1"/>
    <w:rsid w:val="003D023B"/>
    <w:rsid w:val="003E73D7"/>
    <w:rsid w:val="00443F05"/>
    <w:rsid w:val="00445171"/>
    <w:rsid w:val="00445D1C"/>
    <w:rsid w:val="00450342"/>
    <w:rsid w:val="00456A19"/>
    <w:rsid w:val="00471B77"/>
    <w:rsid w:val="00476A00"/>
    <w:rsid w:val="00480642"/>
    <w:rsid w:val="00481F56"/>
    <w:rsid w:val="004867F9"/>
    <w:rsid w:val="00492066"/>
    <w:rsid w:val="00494D74"/>
    <w:rsid w:val="00495C0A"/>
    <w:rsid w:val="004A1A57"/>
    <w:rsid w:val="004A346D"/>
    <w:rsid w:val="004A55B5"/>
    <w:rsid w:val="004B6FEB"/>
    <w:rsid w:val="004B756F"/>
    <w:rsid w:val="004C2204"/>
    <w:rsid w:val="004C7E52"/>
    <w:rsid w:val="004D56BD"/>
    <w:rsid w:val="004E1C8A"/>
    <w:rsid w:val="004E252C"/>
    <w:rsid w:val="004E4E2A"/>
    <w:rsid w:val="004E57EA"/>
    <w:rsid w:val="005013D8"/>
    <w:rsid w:val="00506A0A"/>
    <w:rsid w:val="005204C1"/>
    <w:rsid w:val="0053072D"/>
    <w:rsid w:val="005314DC"/>
    <w:rsid w:val="005406F9"/>
    <w:rsid w:val="0055156B"/>
    <w:rsid w:val="00561825"/>
    <w:rsid w:val="00561A5F"/>
    <w:rsid w:val="00585ACA"/>
    <w:rsid w:val="00590B34"/>
    <w:rsid w:val="00591CDB"/>
    <w:rsid w:val="00592B4A"/>
    <w:rsid w:val="00597805"/>
    <w:rsid w:val="005B2739"/>
    <w:rsid w:val="005B76DE"/>
    <w:rsid w:val="005D7C47"/>
    <w:rsid w:val="005D7CA0"/>
    <w:rsid w:val="005F075F"/>
    <w:rsid w:val="00602435"/>
    <w:rsid w:val="0060257B"/>
    <w:rsid w:val="006043CA"/>
    <w:rsid w:val="00604EAA"/>
    <w:rsid w:val="00612507"/>
    <w:rsid w:val="00616881"/>
    <w:rsid w:val="0062570D"/>
    <w:rsid w:val="00626337"/>
    <w:rsid w:val="00634754"/>
    <w:rsid w:val="006374CF"/>
    <w:rsid w:val="0064058B"/>
    <w:rsid w:val="006708ED"/>
    <w:rsid w:val="0067265A"/>
    <w:rsid w:val="006867F3"/>
    <w:rsid w:val="006A171F"/>
    <w:rsid w:val="006B0B5A"/>
    <w:rsid w:val="006C54B4"/>
    <w:rsid w:val="006D2590"/>
    <w:rsid w:val="006F07EA"/>
    <w:rsid w:val="006F41B6"/>
    <w:rsid w:val="006F6CBD"/>
    <w:rsid w:val="00702BEE"/>
    <w:rsid w:val="00725D5D"/>
    <w:rsid w:val="00733959"/>
    <w:rsid w:val="00747EFD"/>
    <w:rsid w:val="00750FE9"/>
    <w:rsid w:val="007519C5"/>
    <w:rsid w:val="00756196"/>
    <w:rsid w:val="0076104A"/>
    <w:rsid w:val="00766CFA"/>
    <w:rsid w:val="00777AD7"/>
    <w:rsid w:val="00793AA1"/>
    <w:rsid w:val="007A073D"/>
    <w:rsid w:val="007A38C7"/>
    <w:rsid w:val="007A467E"/>
    <w:rsid w:val="007B66DA"/>
    <w:rsid w:val="007C5532"/>
    <w:rsid w:val="007D6A6C"/>
    <w:rsid w:val="007E1BE5"/>
    <w:rsid w:val="007F46D5"/>
    <w:rsid w:val="007F61AB"/>
    <w:rsid w:val="007F713E"/>
    <w:rsid w:val="008037A3"/>
    <w:rsid w:val="008077FB"/>
    <w:rsid w:val="008178F2"/>
    <w:rsid w:val="0082018E"/>
    <w:rsid w:val="008261F5"/>
    <w:rsid w:val="00827595"/>
    <w:rsid w:val="00835963"/>
    <w:rsid w:val="00851E17"/>
    <w:rsid w:val="00854E32"/>
    <w:rsid w:val="008573D0"/>
    <w:rsid w:val="00857852"/>
    <w:rsid w:val="00867B25"/>
    <w:rsid w:val="00867E8E"/>
    <w:rsid w:val="00886C31"/>
    <w:rsid w:val="00887801"/>
    <w:rsid w:val="008B5019"/>
    <w:rsid w:val="008B70F1"/>
    <w:rsid w:val="008C654B"/>
    <w:rsid w:val="008D2D75"/>
    <w:rsid w:val="008D5C58"/>
    <w:rsid w:val="008F15FD"/>
    <w:rsid w:val="008F5D47"/>
    <w:rsid w:val="008F759A"/>
    <w:rsid w:val="00900BEC"/>
    <w:rsid w:val="00922B2B"/>
    <w:rsid w:val="009273FC"/>
    <w:rsid w:val="009411F3"/>
    <w:rsid w:val="00941411"/>
    <w:rsid w:val="00944BB1"/>
    <w:rsid w:val="00952FA1"/>
    <w:rsid w:val="00954B0C"/>
    <w:rsid w:val="0096444C"/>
    <w:rsid w:val="009755D7"/>
    <w:rsid w:val="0098227A"/>
    <w:rsid w:val="0098375F"/>
    <w:rsid w:val="00985AD0"/>
    <w:rsid w:val="00985BEA"/>
    <w:rsid w:val="00990AFB"/>
    <w:rsid w:val="009931FB"/>
    <w:rsid w:val="00997027"/>
    <w:rsid w:val="00997DDC"/>
    <w:rsid w:val="009A1FC7"/>
    <w:rsid w:val="009A2443"/>
    <w:rsid w:val="009A3C19"/>
    <w:rsid w:val="009A3C58"/>
    <w:rsid w:val="009B3082"/>
    <w:rsid w:val="009D2D38"/>
    <w:rsid w:val="009D4455"/>
    <w:rsid w:val="009E7CBF"/>
    <w:rsid w:val="009F64E1"/>
    <w:rsid w:val="00A1378A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0921"/>
    <w:rsid w:val="00A912E5"/>
    <w:rsid w:val="00AB44DF"/>
    <w:rsid w:val="00AB555F"/>
    <w:rsid w:val="00AC7221"/>
    <w:rsid w:val="00AE5D23"/>
    <w:rsid w:val="00AE6723"/>
    <w:rsid w:val="00AE6EDA"/>
    <w:rsid w:val="00AF5F14"/>
    <w:rsid w:val="00B016A6"/>
    <w:rsid w:val="00B04D99"/>
    <w:rsid w:val="00B13552"/>
    <w:rsid w:val="00B21963"/>
    <w:rsid w:val="00B33E8F"/>
    <w:rsid w:val="00B3615B"/>
    <w:rsid w:val="00B3711A"/>
    <w:rsid w:val="00B46000"/>
    <w:rsid w:val="00B60CE7"/>
    <w:rsid w:val="00B6504D"/>
    <w:rsid w:val="00B67B95"/>
    <w:rsid w:val="00B80DE6"/>
    <w:rsid w:val="00B83291"/>
    <w:rsid w:val="00B84146"/>
    <w:rsid w:val="00B9777F"/>
    <w:rsid w:val="00BA0AA4"/>
    <w:rsid w:val="00BA155D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E7E0A"/>
    <w:rsid w:val="00BF0EBE"/>
    <w:rsid w:val="00C2654B"/>
    <w:rsid w:val="00C409DC"/>
    <w:rsid w:val="00C7702C"/>
    <w:rsid w:val="00C7733A"/>
    <w:rsid w:val="00C80C75"/>
    <w:rsid w:val="00C85050"/>
    <w:rsid w:val="00C94364"/>
    <w:rsid w:val="00C964AE"/>
    <w:rsid w:val="00C97B8D"/>
    <w:rsid w:val="00CA3443"/>
    <w:rsid w:val="00CB2260"/>
    <w:rsid w:val="00CB51E1"/>
    <w:rsid w:val="00CC1BDA"/>
    <w:rsid w:val="00CD67EC"/>
    <w:rsid w:val="00CF184B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1A94"/>
    <w:rsid w:val="00D651A8"/>
    <w:rsid w:val="00DA35BB"/>
    <w:rsid w:val="00DB246C"/>
    <w:rsid w:val="00DB6B7A"/>
    <w:rsid w:val="00DC1E85"/>
    <w:rsid w:val="00DC5BAE"/>
    <w:rsid w:val="00DC744A"/>
    <w:rsid w:val="00DD248D"/>
    <w:rsid w:val="00DD2C8D"/>
    <w:rsid w:val="00DE1499"/>
    <w:rsid w:val="00DE7928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5A6"/>
    <w:rsid w:val="00E877D2"/>
    <w:rsid w:val="00E915A0"/>
    <w:rsid w:val="00E9564C"/>
    <w:rsid w:val="00EA1F32"/>
    <w:rsid w:val="00EB140A"/>
    <w:rsid w:val="00EB1656"/>
    <w:rsid w:val="00EC2F75"/>
    <w:rsid w:val="00ED083A"/>
    <w:rsid w:val="00ED33E8"/>
    <w:rsid w:val="00ED341C"/>
    <w:rsid w:val="00EE4881"/>
    <w:rsid w:val="00EE52AF"/>
    <w:rsid w:val="00EF327A"/>
    <w:rsid w:val="00F044FA"/>
    <w:rsid w:val="00F04AC2"/>
    <w:rsid w:val="00F160FC"/>
    <w:rsid w:val="00F25C26"/>
    <w:rsid w:val="00F25F69"/>
    <w:rsid w:val="00F32257"/>
    <w:rsid w:val="00F33E1A"/>
    <w:rsid w:val="00F35441"/>
    <w:rsid w:val="00F358D9"/>
    <w:rsid w:val="00F40CD0"/>
    <w:rsid w:val="00F47674"/>
    <w:rsid w:val="00F528C2"/>
    <w:rsid w:val="00F5309B"/>
    <w:rsid w:val="00F56DCB"/>
    <w:rsid w:val="00F630A9"/>
    <w:rsid w:val="00F67DA6"/>
    <w:rsid w:val="00F9137E"/>
    <w:rsid w:val="00F91A06"/>
    <w:rsid w:val="00FB59AB"/>
    <w:rsid w:val="00FB6FB9"/>
    <w:rsid w:val="00FC04AA"/>
    <w:rsid w:val="00FC0B2F"/>
    <w:rsid w:val="00FC4190"/>
    <w:rsid w:val="00FC6DF6"/>
    <w:rsid w:val="00FE3889"/>
    <w:rsid w:val="00FF083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1590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Kaňoková Hana</cp:lastModifiedBy>
  <cp:revision>14</cp:revision>
  <cp:lastPrinted>2025-09-03T08:39:00Z</cp:lastPrinted>
  <dcterms:created xsi:type="dcterms:W3CDTF">2025-08-15T07:32:00Z</dcterms:created>
  <dcterms:modified xsi:type="dcterms:W3CDTF">2025-11-14T06:08:00Z</dcterms:modified>
</cp:coreProperties>
</file>