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D042" w14:textId="77777777" w:rsidR="00DB3413" w:rsidRPr="002354E9" w:rsidRDefault="00DB3413" w:rsidP="00DB3413">
      <w:pPr>
        <w:pStyle w:val="Nadpis4"/>
        <w:jc w:val="both"/>
        <w:rPr>
          <w:rFonts w:asciiTheme="minorHAnsi" w:hAnsiTheme="minorHAnsi" w:cstheme="minorHAnsi"/>
          <w:i w:val="0"/>
          <w:iCs w:val="0"/>
          <w:color w:val="auto"/>
        </w:rPr>
      </w:pPr>
      <w:r w:rsidRPr="002354E9">
        <w:rPr>
          <w:rStyle w:val="Siln"/>
          <w:rFonts w:asciiTheme="minorHAnsi" w:hAnsiTheme="minorHAnsi" w:cstheme="minorHAnsi"/>
          <w:i w:val="0"/>
          <w:iCs w:val="0"/>
          <w:color w:val="auto"/>
        </w:rPr>
        <w:t>Shrnutí</w:t>
      </w:r>
    </w:p>
    <w:p w14:paraId="0D9A86EF" w14:textId="38184431" w:rsidR="009F308B" w:rsidRPr="002354E9" w:rsidRDefault="009F308B" w:rsidP="009F308B">
      <w:pPr>
        <w:jc w:val="both"/>
        <w:rPr>
          <w:rFonts w:cstheme="minorHAnsi"/>
        </w:rPr>
      </w:pPr>
      <w:r w:rsidRPr="002354E9">
        <w:rPr>
          <w:rFonts w:cstheme="minorHAnsi"/>
        </w:rPr>
        <w:t xml:space="preserve">Zastupitelstvu města je předkládán návrh na souhlas s podmínkami udržitelnosti projektu uvedenými </w:t>
      </w:r>
      <w:r w:rsidRPr="002354E9">
        <w:rPr>
          <w:rFonts w:cstheme="minorHAnsi"/>
        </w:rPr>
        <w:t xml:space="preserve">v </w:t>
      </w:r>
      <w:r w:rsidRPr="002354E9">
        <w:rPr>
          <w:rFonts w:cstheme="minorHAnsi"/>
          <w:color w:val="333333"/>
          <w:shd w:val="clear" w:color="auto" w:fill="FFFFFF"/>
        </w:rPr>
        <w:t>čl. I. "Výklad pojmů" písm. m) smluv o poskytnutí dotace dle přílohy č. 1-3 a čl. 2.4 "Podmínek provozu a nájmu bytů" dle přílohy č. 4 předloženého materiálu</w:t>
      </w:r>
    </w:p>
    <w:p w14:paraId="0B709C15" w14:textId="77777777" w:rsidR="00DB3413" w:rsidRPr="002354E9" w:rsidRDefault="00DB3413" w:rsidP="00DB3413">
      <w:pPr>
        <w:pStyle w:val="Nadpis4"/>
        <w:jc w:val="both"/>
        <w:rPr>
          <w:rFonts w:asciiTheme="minorHAnsi" w:hAnsiTheme="minorHAnsi" w:cstheme="minorHAnsi"/>
          <w:i w:val="0"/>
          <w:iCs w:val="0"/>
          <w:color w:val="auto"/>
        </w:rPr>
      </w:pPr>
      <w:r w:rsidRPr="002354E9">
        <w:rPr>
          <w:rStyle w:val="Siln"/>
          <w:rFonts w:asciiTheme="minorHAnsi" w:hAnsiTheme="minorHAnsi" w:cstheme="minorHAnsi"/>
          <w:i w:val="0"/>
          <w:iCs w:val="0"/>
          <w:color w:val="auto"/>
        </w:rPr>
        <w:t>Popis</w:t>
      </w:r>
    </w:p>
    <w:p w14:paraId="7A209AAE" w14:textId="77777777" w:rsidR="00DB3413" w:rsidRPr="002354E9" w:rsidRDefault="00DB3413" w:rsidP="00DB3413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2354E9">
        <w:rPr>
          <w:rStyle w:val="Siln"/>
          <w:rFonts w:asciiTheme="minorHAnsi" w:hAnsiTheme="minorHAnsi" w:cstheme="minorHAnsi"/>
          <w:sz w:val="22"/>
          <w:szCs w:val="22"/>
        </w:rPr>
        <w:t>ID 0177/20 – Modernizace bytových domů Šenovská 65, 67, 69</w:t>
      </w:r>
    </w:p>
    <w:p w14:paraId="4FDB093C" w14:textId="77777777" w:rsidR="00DB3413" w:rsidRPr="002354E9" w:rsidRDefault="00DB3413" w:rsidP="00DB3413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2354E9">
        <w:rPr>
          <w:rFonts w:asciiTheme="minorHAnsi" w:hAnsiTheme="minorHAnsi" w:cstheme="minorHAnsi"/>
          <w:sz w:val="22"/>
          <w:szCs w:val="22"/>
        </w:rPr>
        <w:t xml:space="preserve">Městský obvod Slezská Ostrava zahájil realizaci projektu </w:t>
      </w:r>
      <w:r w:rsidRPr="002354E9">
        <w:rPr>
          <w:rStyle w:val="Siln"/>
          <w:rFonts w:asciiTheme="minorHAnsi" w:hAnsiTheme="minorHAnsi" w:cstheme="minorHAnsi"/>
          <w:sz w:val="22"/>
          <w:szCs w:val="22"/>
        </w:rPr>
        <w:t>„Modernizace bytových domů Šenovská 65, 67, 69“</w:t>
      </w:r>
      <w:r w:rsidRPr="002354E9">
        <w:rPr>
          <w:rFonts w:asciiTheme="minorHAnsi" w:hAnsiTheme="minorHAnsi" w:cstheme="minorHAnsi"/>
          <w:sz w:val="22"/>
          <w:szCs w:val="22"/>
        </w:rPr>
        <w:t>. Projekt se zaměřuje na celkovou rekonstrukci tří samostatně stojících zděných třípodlažních bytových domů.</w:t>
      </w:r>
    </w:p>
    <w:p w14:paraId="20FE1EBC" w14:textId="77777777" w:rsidR="00DB3413" w:rsidRPr="00DB3413" w:rsidRDefault="00DB3413" w:rsidP="00DB3413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2354E9">
        <w:rPr>
          <w:rFonts w:asciiTheme="minorHAnsi" w:hAnsiTheme="minorHAnsi" w:cstheme="minorHAnsi"/>
          <w:sz w:val="22"/>
          <w:szCs w:val="22"/>
        </w:rPr>
        <w:t>V rámci rozsáhlé rekonstrukce dojde k vytvoření nových bytových jednotek určených k nájemnímu bydlení, čímž se přispěje ke zmírnění současného nedostatku dostupného nájemního bydlení. Rekonstrukce zahrnuje kompletní sanaci budov</w:t>
      </w:r>
      <w:r w:rsidRPr="00DB3413">
        <w:rPr>
          <w:rFonts w:asciiTheme="minorHAnsi" w:hAnsiTheme="minorHAnsi" w:cstheme="minorHAnsi"/>
          <w:sz w:val="22"/>
          <w:szCs w:val="22"/>
        </w:rPr>
        <w:t>, opravu schodišť a pavlačí, komplexní obnovu bytových jednotek, výměnu oken a dveří, zateplení fasády a plynofikaci. Součástí prací budou rovněž nové vodovodní a kanalizační přípojky, modernizace elektroinstalace a terénní úpravy okolí.</w:t>
      </w:r>
    </w:p>
    <w:p w14:paraId="4FEDE744" w14:textId="77777777" w:rsidR="00DB3413" w:rsidRPr="00DB3413" w:rsidRDefault="00DB3413" w:rsidP="00DB3413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DB3413">
        <w:rPr>
          <w:rFonts w:asciiTheme="minorHAnsi" w:hAnsiTheme="minorHAnsi" w:cstheme="minorHAnsi"/>
          <w:sz w:val="22"/>
          <w:szCs w:val="22"/>
        </w:rPr>
        <w:t xml:space="preserve">Státní fond podpory investic (dále jen „SFPI“) vyhlásil dne 19. 9. 2024 </w:t>
      </w:r>
      <w:r w:rsidRPr="00DB3413">
        <w:rPr>
          <w:rStyle w:val="Siln"/>
          <w:rFonts w:asciiTheme="minorHAnsi" w:hAnsiTheme="minorHAnsi" w:cstheme="minorHAnsi"/>
          <w:sz w:val="22"/>
          <w:szCs w:val="22"/>
        </w:rPr>
        <w:t>výzvu č. 1/DB/2024</w:t>
      </w:r>
      <w:r w:rsidRPr="00DB3413">
        <w:rPr>
          <w:rFonts w:asciiTheme="minorHAnsi" w:hAnsiTheme="minorHAnsi" w:cstheme="minorHAnsi"/>
          <w:sz w:val="22"/>
          <w:szCs w:val="22"/>
        </w:rPr>
        <w:t>, zaměřenou na financování výstavby a pořízení dostupných nájemních bytů, které budou pronajímány v souladu s podmínkami programu.</w:t>
      </w:r>
    </w:p>
    <w:p w14:paraId="74CDF4CA" w14:textId="77777777" w:rsidR="00DB3413" w:rsidRPr="00DB3413" w:rsidRDefault="00DB3413" w:rsidP="00DB3413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DB3413">
        <w:rPr>
          <w:rFonts w:asciiTheme="minorHAnsi" w:hAnsiTheme="minorHAnsi" w:cstheme="minorHAnsi"/>
          <w:sz w:val="22"/>
          <w:szCs w:val="22"/>
        </w:rPr>
        <w:t>Městský obvod Slezská Ostrava podal celkem tři žádosti o dotaci v kombinaci s poskytnutím úvěru na opravu tří bytových domů na ulici Šenovská. Žádosti byly úspěšně vyhodnoceny, a dne 12. 6. 2025 městský obvod obdržel smlouvy o poskytnutí dotací a úvěrů.</w:t>
      </w:r>
    </w:p>
    <w:p w14:paraId="1C34E877" w14:textId="77777777" w:rsidR="00DB3413" w:rsidRPr="00DB3413" w:rsidRDefault="00DB3413" w:rsidP="00DB3413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DB3413">
        <w:rPr>
          <w:rFonts w:asciiTheme="minorHAnsi" w:hAnsiTheme="minorHAnsi" w:cstheme="minorHAnsi"/>
          <w:sz w:val="22"/>
          <w:szCs w:val="22"/>
        </w:rPr>
        <w:t>Jedná se o následující smlouvy:</w:t>
      </w:r>
    </w:p>
    <w:p w14:paraId="34C6D31B" w14:textId="77777777" w:rsidR="00DB3413" w:rsidRPr="00DB3413" w:rsidRDefault="00DB3413" w:rsidP="00DB3413">
      <w:pPr>
        <w:pStyle w:val="Normln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3413">
        <w:rPr>
          <w:rStyle w:val="Siln"/>
          <w:rFonts w:asciiTheme="minorHAnsi" w:hAnsiTheme="minorHAnsi" w:cstheme="minorHAnsi"/>
          <w:sz w:val="22"/>
          <w:szCs w:val="22"/>
        </w:rPr>
        <w:t>Smlouvy o poskytnutí dotace</w:t>
      </w:r>
      <w:r w:rsidRPr="00DB3413">
        <w:rPr>
          <w:rFonts w:asciiTheme="minorHAnsi" w:hAnsiTheme="minorHAnsi" w:cstheme="minorHAnsi"/>
          <w:sz w:val="22"/>
          <w:szCs w:val="22"/>
        </w:rPr>
        <w:t>: č. 280000851, 280000871, 280000891</w:t>
      </w:r>
    </w:p>
    <w:p w14:paraId="4A9D7D49" w14:textId="77777777" w:rsidR="00DB3413" w:rsidRPr="00DB3413" w:rsidRDefault="00DB3413" w:rsidP="00DB3413">
      <w:pPr>
        <w:pStyle w:val="Normln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3413">
        <w:rPr>
          <w:rStyle w:val="Siln"/>
          <w:rFonts w:asciiTheme="minorHAnsi" w:hAnsiTheme="minorHAnsi" w:cstheme="minorHAnsi"/>
          <w:sz w:val="22"/>
          <w:szCs w:val="22"/>
        </w:rPr>
        <w:t>Smlouvy o poskytnutí úvěru</w:t>
      </w:r>
      <w:r w:rsidRPr="00DB3413">
        <w:rPr>
          <w:rFonts w:asciiTheme="minorHAnsi" w:hAnsiTheme="minorHAnsi" w:cstheme="minorHAnsi"/>
          <w:sz w:val="22"/>
          <w:szCs w:val="22"/>
        </w:rPr>
        <w:t>: č. 280000852, 280000872, 280000891</w:t>
      </w:r>
    </w:p>
    <w:p w14:paraId="16DC487E" w14:textId="77777777" w:rsidR="00DB3413" w:rsidRPr="00DB3413" w:rsidRDefault="00DB3413" w:rsidP="00DB3413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DB3413">
        <w:rPr>
          <w:rFonts w:asciiTheme="minorHAnsi" w:hAnsiTheme="minorHAnsi" w:cstheme="minorHAnsi"/>
          <w:sz w:val="22"/>
          <w:szCs w:val="22"/>
        </w:rPr>
        <w:t xml:space="preserve">Účelem dotace je výstavba celkem </w:t>
      </w:r>
      <w:r w:rsidRPr="00DB3413">
        <w:rPr>
          <w:rStyle w:val="Siln"/>
          <w:rFonts w:asciiTheme="minorHAnsi" w:hAnsiTheme="minorHAnsi" w:cstheme="minorHAnsi"/>
          <w:sz w:val="22"/>
          <w:szCs w:val="22"/>
        </w:rPr>
        <w:t>24 nájemních bytů</w:t>
      </w:r>
      <w:r w:rsidRPr="00DB3413">
        <w:rPr>
          <w:rFonts w:asciiTheme="minorHAnsi" w:hAnsiTheme="minorHAnsi" w:cstheme="minorHAnsi"/>
          <w:sz w:val="22"/>
          <w:szCs w:val="22"/>
        </w:rPr>
        <w:t xml:space="preserve"> formou stavebních úprav. Dotaci lze čerpat jednorázově nebo postupně prostřednictvím Klientského portálu SFPI. Podmínkou pro zahájení čerpání dotace je doložení:</w:t>
      </w:r>
    </w:p>
    <w:p w14:paraId="1BD5BDA0" w14:textId="77777777" w:rsidR="00DB3413" w:rsidRPr="00DB3413" w:rsidRDefault="00DB3413" w:rsidP="00DB3413">
      <w:pPr>
        <w:pStyle w:val="Normlnweb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3413">
        <w:rPr>
          <w:rFonts w:asciiTheme="minorHAnsi" w:hAnsiTheme="minorHAnsi" w:cstheme="minorHAnsi"/>
          <w:sz w:val="22"/>
          <w:szCs w:val="22"/>
        </w:rPr>
        <w:t>smlouvy se zhotovitelem,</w:t>
      </w:r>
    </w:p>
    <w:p w14:paraId="71D87146" w14:textId="77777777" w:rsidR="00DB3413" w:rsidRPr="00DB3413" w:rsidRDefault="00DB3413" w:rsidP="00DB3413">
      <w:pPr>
        <w:pStyle w:val="Normlnweb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3413">
        <w:rPr>
          <w:rFonts w:asciiTheme="minorHAnsi" w:hAnsiTheme="minorHAnsi" w:cstheme="minorHAnsi"/>
          <w:sz w:val="22"/>
          <w:szCs w:val="22"/>
        </w:rPr>
        <w:t>zadávací dokumentace,</w:t>
      </w:r>
    </w:p>
    <w:p w14:paraId="177E7594" w14:textId="77777777" w:rsidR="00DB3413" w:rsidRPr="00DB3413" w:rsidRDefault="00DB3413" w:rsidP="00DB3413">
      <w:pPr>
        <w:pStyle w:val="Normlnweb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3413">
        <w:rPr>
          <w:rFonts w:asciiTheme="minorHAnsi" w:hAnsiTheme="minorHAnsi" w:cstheme="minorHAnsi"/>
          <w:sz w:val="22"/>
          <w:szCs w:val="22"/>
        </w:rPr>
        <w:t>technického dozoru,</w:t>
      </w:r>
    </w:p>
    <w:p w14:paraId="69717F03" w14:textId="77777777" w:rsidR="00DB3413" w:rsidRPr="00DB3413" w:rsidRDefault="00DB3413" w:rsidP="00DB3413">
      <w:pPr>
        <w:pStyle w:val="Normlnweb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3413">
        <w:rPr>
          <w:rFonts w:asciiTheme="minorHAnsi" w:hAnsiTheme="minorHAnsi" w:cstheme="minorHAnsi"/>
          <w:sz w:val="22"/>
          <w:szCs w:val="22"/>
        </w:rPr>
        <w:t>pojištění stavby,</w:t>
      </w:r>
    </w:p>
    <w:p w14:paraId="42228489" w14:textId="77777777" w:rsidR="00DB3413" w:rsidRPr="00DB3413" w:rsidRDefault="00DB3413" w:rsidP="00DB3413">
      <w:pPr>
        <w:pStyle w:val="Normlnweb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3413">
        <w:rPr>
          <w:rFonts w:asciiTheme="minorHAnsi" w:hAnsiTheme="minorHAnsi" w:cstheme="minorHAnsi"/>
          <w:sz w:val="22"/>
          <w:szCs w:val="22"/>
        </w:rPr>
        <w:t>aktualizovaného modelu nákladového nájemného a veřejné podpory.</w:t>
      </w:r>
    </w:p>
    <w:p w14:paraId="41434B92" w14:textId="77777777" w:rsidR="00DB3413" w:rsidRPr="00DB3413" w:rsidRDefault="00DB3413" w:rsidP="00DB3413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DB3413">
        <w:rPr>
          <w:rFonts w:asciiTheme="minorHAnsi" w:hAnsiTheme="minorHAnsi" w:cstheme="minorHAnsi"/>
          <w:sz w:val="22"/>
          <w:szCs w:val="22"/>
        </w:rPr>
        <w:t xml:space="preserve">Čerpání dotace musí být zahájeno do </w:t>
      </w:r>
      <w:r w:rsidRPr="00DB3413">
        <w:rPr>
          <w:rStyle w:val="Siln"/>
          <w:rFonts w:asciiTheme="minorHAnsi" w:hAnsiTheme="minorHAnsi" w:cstheme="minorHAnsi"/>
          <w:sz w:val="22"/>
          <w:szCs w:val="22"/>
        </w:rPr>
        <w:t>dvou let</w:t>
      </w:r>
      <w:r w:rsidRPr="00DB3413">
        <w:rPr>
          <w:rFonts w:asciiTheme="minorHAnsi" w:hAnsiTheme="minorHAnsi" w:cstheme="minorHAnsi"/>
          <w:sz w:val="22"/>
          <w:szCs w:val="22"/>
        </w:rPr>
        <w:t xml:space="preserve"> od nabytí účinnosti smlouvy.</w:t>
      </w:r>
    </w:p>
    <w:p w14:paraId="4DB6E4AC" w14:textId="77777777" w:rsidR="00DB3413" w:rsidRPr="00DB3413" w:rsidRDefault="00DB3413" w:rsidP="00DB3413">
      <w:pPr>
        <w:pStyle w:val="Nadpis4"/>
        <w:jc w:val="both"/>
        <w:rPr>
          <w:rFonts w:asciiTheme="minorHAnsi" w:hAnsiTheme="minorHAnsi" w:cstheme="minorHAnsi"/>
          <w:color w:val="auto"/>
        </w:rPr>
      </w:pPr>
      <w:r w:rsidRPr="00DB3413">
        <w:rPr>
          <w:rStyle w:val="Siln"/>
          <w:rFonts w:asciiTheme="minorHAnsi" w:hAnsiTheme="minorHAnsi" w:cstheme="minorHAnsi"/>
          <w:b w:val="0"/>
          <w:bCs w:val="0"/>
          <w:color w:val="auto"/>
        </w:rPr>
        <w:t>Povinnosti příjemce dotace</w:t>
      </w:r>
    </w:p>
    <w:p w14:paraId="7C6F8302" w14:textId="77777777" w:rsidR="00DB3413" w:rsidRPr="00DB3413" w:rsidRDefault="00DB3413" w:rsidP="00DB3413">
      <w:pPr>
        <w:pStyle w:val="Normlnweb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3413">
        <w:rPr>
          <w:rFonts w:asciiTheme="minorHAnsi" w:hAnsiTheme="minorHAnsi" w:cstheme="minorHAnsi"/>
          <w:sz w:val="22"/>
          <w:szCs w:val="22"/>
        </w:rPr>
        <w:t xml:space="preserve">Dodržet účel dotace a pravidla programu, včetně zásady </w:t>
      </w:r>
      <w:r w:rsidRPr="00DB3413">
        <w:rPr>
          <w:rStyle w:val="Siln"/>
          <w:rFonts w:asciiTheme="minorHAnsi" w:hAnsiTheme="minorHAnsi" w:cstheme="minorHAnsi"/>
          <w:sz w:val="22"/>
          <w:szCs w:val="22"/>
        </w:rPr>
        <w:t xml:space="preserve">„Do No </w:t>
      </w:r>
      <w:proofErr w:type="spellStart"/>
      <w:r w:rsidRPr="00DB3413">
        <w:rPr>
          <w:rStyle w:val="Siln"/>
          <w:rFonts w:asciiTheme="minorHAnsi" w:hAnsiTheme="minorHAnsi" w:cstheme="minorHAnsi"/>
          <w:sz w:val="22"/>
          <w:szCs w:val="22"/>
        </w:rPr>
        <w:t>Significant</w:t>
      </w:r>
      <w:proofErr w:type="spellEnd"/>
      <w:r w:rsidRPr="00DB3413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3413">
        <w:rPr>
          <w:rStyle w:val="Siln"/>
          <w:rFonts w:asciiTheme="minorHAnsi" w:hAnsiTheme="minorHAnsi" w:cstheme="minorHAnsi"/>
          <w:sz w:val="22"/>
          <w:szCs w:val="22"/>
        </w:rPr>
        <w:t>Harm</w:t>
      </w:r>
      <w:proofErr w:type="spellEnd"/>
      <w:r w:rsidRPr="00DB3413">
        <w:rPr>
          <w:rStyle w:val="Siln"/>
          <w:rFonts w:asciiTheme="minorHAnsi" w:hAnsiTheme="minorHAnsi" w:cstheme="minorHAnsi"/>
          <w:sz w:val="22"/>
          <w:szCs w:val="22"/>
        </w:rPr>
        <w:t>“</w:t>
      </w:r>
      <w:r w:rsidRPr="00DB3413">
        <w:rPr>
          <w:rFonts w:asciiTheme="minorHAnsi" w:hAnsiTheme="minorHAnsi" w:cstheme="minorHAnsi"/>
          <w:sz w:val="22"/>
          <w:szCs w:val="22"/>
        </w:rPr>
        <w:t>.</w:t>
      </w:r>
    </w:p>
    <w:p w14:paraId="5D01CC7A" w14:textId="1CA495D6" w:rsidR="00DB3413" w:rsidRPr="00DB3413" w:rsidRDefault="00DB3413" w:rsidP="00DB3413">
      <w:pPr>
        <w:pStyle w:val="Normlnweb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3413">
        <w:rPr>
          <w:rFonts w:asciiTheme="minorHAnsi" w:hAnsiTheme="minorHAnsi" w:cstheme="minorHAnsi"/>
          <w:sz w:val="22"/>
          <w:szCs w:val="22"/>
        </w:rPr>
        <w:t xml:space="preserve">Zajistit </w:t>
      </w:r>
      <w:r w:rsidRPr="00DB3413">
        <w:rPr>
          <w:rStyle w:val="Siln"/>
          <w:rFonts w:asciiTheme="minorHAnsi" w:hAnsiTheme="minorHAnsi" w:cstheme="minorHAnsi"/>
          <w:sz w:val="22"/>
          <w:szCs w:val="22"/>
        </w:rPr>
        <w:t>udržitelnost projektu po dobu minimálně 20 let</w:t>
      </w:r>
      <w:r w:rsidRPr="00DB3413">
        <w:rPr>
          <w:rFonts w:asciiTheme="minorHAnsi" w:hAnsiTheme="minorHAnsi" w:cstheme="minorHAnsi"/>
          <w:sz w:val="22"/>
          <w:szCs w:val="22"/>
        </w:rPr>
        <w:t xml:space="preserve"> od nabytí právní moci kolaudačního rozhodnutí</w:t>
      </w:r>
      <w:r w:rsidR="00C9617D">
        <w:rPr>
          <w:rFonts w:asciiTheme="minorHAnsi" w:hAnsiTheme="minorHAnsi" w:cstheme="minorHAnsi"/>
          <w:sz w:val="22"/>
          <w:szCs w:val="22"/>
        </w:rPr>
        <w:t xml:space="preserve"> (čl. I. „</w:t>
      </w:r>
      <w:r w:rsidR="00C9617D" w:rsidRPr="00C9617D">
        <w:rPr>
          <w:rFonts w:asciiTheme="minorHAnsi" w:hAnsiTheme="minorHAnsi" w:cstheme="minorHAnsi"/>
          <w:i/>
          <w:iCs/>
          <w:sz w:val="22"/>
          <w:szCs w:val="22"/>
        </w:rPr>
        <w:t>Výklad pojmů</w:t>
      </w:r>
      <w:r w:rsidR="00C9617D">
        <w:rPr>
          <w:rFonts w:asciiTheme="minorHAnsi" w:hAnsiTheme="minorHAnsi" w:cstheme="minorHAnsi"/>
          <w:sz w:val="22"/>
          <w:szCs w:val="22"/>
        </w:rPr>
        <w:t>“ písm. m) smluv o poskytnutí dotace, čl. 2.4 „</w:t>
      </w:r>
      <w:r w:rsidR="00C9617D" w:rsidRPr="00C9617D">
        <w:rPr>
          <w:rFonts w:asciiTheme="minorHAnsi" w:hAnsiTheme="minorHAnsi" w:cstheme="minorHAnsi"/>
          <w:i/>
          <w:iCs/>
          <w:sz w:val="22"/>
          <w:szCs w:val="22"/>
        </w:rPr>
        <w:t>Podmínky provozu a nájmu bytů</w:t>
      </w:r>
      <w:r w:rsidR="00C9617D">
        <w:rPr>
          <w:rFonts w:asciiTheme="minorHAnsi" w:hAnsiTheme="minorHAnsi" w:cstheme="minorHAnsi"/>
          <w:sz w:val="22"/>
          <w:szCs w:val="22"/>
        </w:rPr>
        <w:t>“ přílohy č. 4 předloženého materiálu).</w:t>
      </w:r>
    </w:p>
    <w:p w14:paraId="290E3BC3" w14:textId="77777777" w:rsidR="00DB3413" w:rsidRPr="00DB3413" w:rsidRDefault="00DB3413" w:rsidP="00DB3413">
      <w:pPr>
        <w:pStyle w:val="Normlnweb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3413">
        <w:rPr>
          <w:rFonts w:asciiTheme="minorHAnsi" w:hAnsiTheme="minorHAnsi" w:cstheme="minorHAnsi"/>
          <w:sz w:val="22"/>
          <w:szCs w:val="22"/>
        </w:rPr>
        <w:lastRenderedPageBreak/>
        <w:t>Byty budou sloužit jako dostupné nájemní bydlení (</w:t>
      </w:r>
      <w:r w:rsidRPr="00DB3413">
        <w:rPr>
          <w:rFonts w:asciiTheme="minorHAnsi" w:hAnsiTheme="minorHAnsi" w:cstheme="minorHAnsi"/>
          <w:i/>
          <w:iCs/>
          <w:sz w:val="22"/>
          <w:szCs w:val="22"/>
        </w:rPr>
        <w:t>podmínky pro nakládání s byty jsou uvedeny v čl. VII. „Povinnosti příjemce při nakládání s byty“ smluv o poskytnutí dotace č. 280000851, 280000871, 280000891</w:t>
      </w:r>
      <w:r w:rsidRPr="00DB3413">
        <w:rPr>
          <w:rFonts w:asciiTheme="minorHAnsi" w:hAnsiTheme="minorHAnsi" w:cstheme="minorHAnsi"/>
          <w:sz w:val="22"/>
          <w:szCs w:val="22"/>
        </w:rPr>
        <w:t>).</w:t>
      </w:r>
    </w:p>
    <w:p w14:paraId="221780B5" w14:textId="3070538A" w:rsidR="00DB3413" w:rsidRPr="00DB3413" w:rsidRDefault="00DB3413" w:rsidP="00DB3413">
      <w:pPr>
        <w:pStyle w:val="Normlnweb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3413">
        <w:rPr>
          <w:rFonts w:asciiTheme="minorHAnsi" w:hAnsiTheme="minorHAnsi" w:cstheme="minorHAnsi"/>
          <w:sz w:val="22"/>
          <w:szCs w:val="22"/>
        </w:rPr>
        <w:t xml:space="preserve">Nájemné nesmí překročit výši stanovenou metodikou a zároveň musí být nižší než obvyklé nájemné v dané lokalitě. </w:t>
      </w:r>
      <w:r w:rsidRPr="00DB3413">
        <w:rPr>
          <w:rFonts w:asciiTheme="minorHAnsi" w:hAnsiTheme="minorHAnsi" w:cstheme="minorHAnsi"/>
          <w:sz w:val="22"/>
          <w:szCs w:val="22"/>
          <w:u w:val="single"/>
        </w:rPr>
        <w:t xml:space="preserve">Aktuálně je dle metodiky stanoveno na </w:t>
      </w:r>
      <w:r w:rsidRPr="00DB3413">
        <w:rPr>
          <w:rStyle w:val="Siln"/>
          <w:rFonts w:asciiTheme="minorHAnsi" w:hAnsiTheme="minorHAnsi" w:cstheme="minorHAnsi"/>
          <w:sz w:val="22"/>
          <w:szCs w:val="22"/>
          <w:u w:val="single"/>
        </w:rPr>
        <w:t>173 Kč/m² a 183 Kč/m</w:t>
      </w:r>
      <w:r w:rsidRPr="00164DB4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²</w:t>
      </w:r>
      <w:r w:rsidR="00164DB4" w:rsidRPr="00164DB4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, viz. příloha č. 5 Model nákladové nájemné a veřejná podpora</w:t>
      </w:r>
      <w:r w:rsidRPr="00164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3413">
        <w:rPr>
          <w:rFonts w:asciiTheme="minorHAnsi" w:hAnsiTheme="minorHAnsi" w:cstheme="minorHAnsi"/>
          <w:sz w:val="22"/>
          <w:szCs w:val="22"/>
        </w:rPr>
        <w:t>(hodnota bude upravena dle vysoutěženého položkového rozpočtu).</w:t>
      </w:r>
    </w:p>
    <w:p w14:paraId="7AB16390" w14:textId="77777777" w:rsidR="00DB3413" w:rsidRDefault="00DB3413" w:rsidP="00DB3413">
      <w:pPr>
        <w:pStyle w:val="Normlnweb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3413">
        <w:rPr>
          <w:rFonts w:asciiTheme="minorHAnsi" w:hAnsiTheme="minorHAnsi" w:cstheme="minorHAnsi"/>
          <w:sz w:val="22"/>
          <w:szCs w:val="22"/>
        </w:rPr>
        <w:t>Nájemní smlouvy budou uzavírány na dobu určitou (1–2 roky), bude vedena evidence nájemníků a pravidelně předkládány přehledy (</w:t>
      </w:r>
      <w:r w:rsidRPr="00DB3413">
        <w:rPr>
          <w:rFonts w:asciiTheme="minorHAnsi" w:hAnsiTheme="minorHAnsi" w:cstheme="minorHAnsi"/>
          <w:i/>
          <w:iCs/>
          <w:sz w:val="22"/>
          <w:szCs w:val="22"/>
        </w:rPr>
        <w:t>viz čl. VII. smluv o poskytnutí dotace</w:t>
      </w:r>
      <w:r w:rsidRPr="00DB3413">
        <w:rPr>
          <w:rFonts w:asciiTheme="minorHAnsi" w:hAnsiTheme="minorHAnsi" w:cstheme="minorHAnsi"/>
          <w:sz w:val="22"/>
          <w:szCs w:val="22"/>
        </w:rPr>
        <w:t>).</w:t>
      </w:r>
    </w:p>
    <w:p w14:paraId="024573EB" w14:textId="77777777" w:rsidR="00DB3413" w:rsidRPr="00164DB4" w:rsidRDefault="00DB3413" w:rsidP="00DB3413">
      <w:pPr>
        <w:pStyle w:val="Nadpis4"/>
        <w:jc w:val="both"/>
        <w:rPr>
          <w:rFonts w:asciiTheme="minorHAnsi" w:hAnsiTheme="minorHAnsi" w:cstheme="minorHAnsi"/>
          <w:i w:val="0"/>
          <w:iCs w:val="0"/>
          <w:color w:val="auto"/>
        </w:rPr>
      </w:pPr>
      <w:r w:rsidRPr="00164DB4">
        <w:rPr>
          <w:rStyle w:val="Siln"/>
          <w:rFonts w:asciiTheme="minorHAnsi" w:hAnsiTheme="minorHAnsi" w:cstheme="minorHAnsi"/>
          <w:i w:val="0"/>
          <w:iCs w:val="0"/>
          <w:color w:val="auto"/>
        </w:rPr>
        <w:t>Sankce a kontrola</w:t>
      </w:r>
    </w:p>
    <w:p w14:paraId="3D7CA15D" w14:textId="77777777" w:rsidR="00DB3413" w:rsidRPr="00DB3413" w:rsidRDefault="00DB3413" w:rsidP="00DB3413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DB3413">
        <w:rPr>
          <w:rFonts w:asciiTheme="minorHAnsi" w:hAnsiTheme="minorHAnsi" w:cstheme="minorHAnsi"/>
          <w:sz w:val="22"/>
          <w:szCs w:val="22"/>
        </w:rPr>
        <w:t xml:space="preserve">Součástí doručených smluv jsou rovněž ustanovení o </w:t>
      </w:r>
      <w:r w:rsidRPr="00DB3413">
        <w:rPr>
          <w:rStyle w:val="Siln"/>
          <w:rFonts w:asciiTheme="minorHAnsi" w:hAnsiTheme="minorHAnsi" w:cstheme="minorHAnsi"/>
          <w:sz w:val="22"/>
          <w:szCs w:val="22"/>
        </w:rPr>
        <w:t>smluvních pokutách</w:t>
      </w:r>
      <w:r w:rsidRPr="00DB3413">
        <w:rPr>
          <w:rFonts w:asciiTheme="minorHAnsi" w:hAnsiTheme="minorHAnsi" w:cstheme="minorHAnsi"/>
          <w:sz w:val="22"/>
          <w:szCs w:val="22"/>
        </w:rPr>
        <w:t>. Porušení podmínek smlouvy může vést k:</w:t>
      </w:r>
    </w:p>
    <w:p w14:paraId="71473FF5" w14:textId="77777777" w:rsidR="00DB3413" w:rsidRPr="00DB3413" w:rsidRDefault="00DB3413" w:rsidP="00DB3413">
      <w:pPr>
        <w:pStyle w:val="Normlnweb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3413">
        <w:rPr>
          <w:rFonts w:asciiTheme="minorHAnsi" w:hAnsiTheme="minorHAnsi" w:cstheme="minorHAnsi"/>
          <w:sz w:val="22"/>
          <w:szCs w:val="22"/>
        </w:rPr>
        <w:t xml:space="preserve">uložení pokuty až do výše </w:t>
      </w:r>
      <w:r w:rsidRPr="00DB3413">
        <w:rPr>
          <w:rStyle w:val="Siln"/>
          <w:rFonts w:asciiTheme="minorHAnsi" w:hAnsiTheme="minorHAnsi" w:cstheme="minorHAnsi"/>
          <w:sz w:val="22"/>
          <w:szCs w:val="22"/>
        </w:rPr>
        <w:t>10 % poskytnuté dotace</w:t>
      </w:r>
      <w:r w:rsidRPr="00DB3413">
        <w:rPr>
          <w:rFonts w:asciiTheme="minorHAnsi" w:hAnsiTheme="minorHAnsi" w:cstheme="minorHAnsi"/>
          <w:sz w:val="22"/>
          <w:szCs w:val="22"/>
        </w:rPr>
        <w:t>,</w:t>
      </w:r>
    </w:p>
    <w:p w14:paraId="556D7C4F" w14:textId="77777777" w:rsidR="00DB3413" w:rsidRPr="00DB3413" w:rsidRDefault="00DB3413" w:rsidP="00DB3413">
      <w:pPr>
        <w:pStyle w:val="Normlnweb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3413">
        <w:rPr>
          <w:rFonts w:asciiTheme="minorHAnsi" w:hAnsiTheme="minorHAnsi" w:cstheme="minorHAnsi"/>
          <w:sz w:val="22"/>
          <w:szCs w:val="22"/>
        </w:rPr>
        <w:t xml:space="preserve">nebo k </w:t>
      </w:r>
      <w:r w:rsidRPr="00DB3413">
        <w:rPr>
          <w:rStyle w:val="Siln"/>
          <w:rFonts w:asciiTheme="minorHAnsi" w:hAnsiTheme="minorHAnsi" w:cstheme="minorHAnsi"/>
          <w:sz w:val="22"/>
          <w:szCs w:val="22"/>
        </w:rPr>
        <w:t>povinnosti vrácení prostředků</w:t>
      </w:r>
      <w:r w:rsidRPr="00DB3413">
        <w:rPr>
          <w:rFonts w:asciiTheme="minorHAnsi" w:hAnsiTheme="minorHAnsi" w:cstheme="minorHAnsi"/>
          <w:sz w:val="22"/>
          <w:szCs w:val="22"/>
        </w:rPr>
        <w:t xml:space="preserve"> (</w:t>
      </w:r>
      <w:r w:rsidRPr="00DB3413">
        <w:rPr>
          <w:rFonts w:asciiTheme="minorHAnsi" w:hAnsiTheme="minorHAnsi" w:cstheme="minorHAnsi"/>
          <w:i/>
          <w:iCs/>
          <w:sz w:val="22"/>
          <w:szCs w:val="22"/>
        </w:rPr>
        <w:t>viz čl. VIII. „Porušení podmínek a smluvní pokuty</w:t>
      </w:r>
      <w:r w:rsidRPr="00DB3413">
        <w:rPr>
          <w:rFonts w:asciiTheme="minorHAnsi" w:hAnsiTheme="minorHAnsi" w:cstheme="minorHAnsi"/>
          <w:sz w:val="22"/>
          <w:szCs w:val="22"/>
        </w:rPr>
        <w:t>“).</w:t>
      </w:r>
    </w:p>
    <w:p w14:paraId="6446C886" w14:textId="77777777" w:rsidR="00DB3413" w:rsidRPr="00DB3413" w:rsidRDefault="00DB3413" w:rsidP="00DB3413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DB3413">
        <w:rPr>
          <w:rFonts w:asciiTheme="minorHAnsi" w:hAnsiTheme="minorHAnsi" w:cstheme="minorHAnsi"/>
          <w:sz w:val="22"/>
          <w:szCs w:val="22"/>
        </w:rPr>
        <w:t xml:space="preserve">Obsazení bytů oprávněnými nájemníky je jednou z klíčových povinností vyplývajících ze smluvních podmínek. Podle čl. VIII odst. 2 písm. d) smlouvy o poskytnutí dotace platí, že pokud byt </w:t>
      </w:r>
      <w:proofErr w:type="gramStart"/>
      <w:r w:rsidRPr="00DB3413">
        <w:rPr>
          <w:rStyle w:val="Siln"/>
          <w:rFonts w:asciiTheme="minorHAnsi" w:hAnsiTheme="minorHAnsi" w:cstheme="minorHAnsi"/>
          <w:sz w:val="22"/>
          <w:szCs w:val="22"/>
        </w:rPr>
        <w:t>neslouží</w:t>
      </w:r>
      <w:proofErr w:type="gramEnd"/>
      <w:r w:rsidRPr="00DB3413">
        <w:rPr>
          <w:rStyle w:val="Siln"/>
          <w:rFonts w:asciiTheme="minorHAnsi" w:hAnsiTheme="minorHAnsi" w:cstheme="minorHAnsi"/>
          <w:sz w:val="22"/>
          <w:szCs w:val="22"/>
        </w:rPr>
        <w:t xml:space="preserve"> dostupnému nájemnímu bydlení</w:t>
      </w:r>
      <w:r w:rsidRPr="00DB3413">
        <w:rPr>
          <w:rFonts w:asciiTheme="minorHAnsi" w:hAnsiTheme="minorHAnsi" w:cstheme="minorHAnsi"/>
          <w:sz w:val="22"/>
          <w:szCs w:val="22"/>
        </w:rPr>
        <w:t xml:space="preserve">, je poskytovatel oprávněn požadovat </w:t>
      </w:r>
      <w:r w:rsidRPr="00DB3413">
        <w:rPr>
          <w:rStyle w:val="Siln"/>
          <w:rFonts w:asciiTheme="minorHAnsi" w:hAnsiTheme="minorHAnsi" w:cstheme="minorHAnsi"/>
          <w:sz w:val="22"/>
          <w:szCs w:val="22"/>
        </w:rPr>
        <w:t>smluvní pokutu ve výši 10 % z částky uvedené v čl. II odst. 1</w:t>
      </w:r>
      <w:r w:rsidRPr="00DB3413">
        <w:rPr>
          <w:rFonts w:asciiTheme="minorHAnsi" w:hAnsiTheme="minorHAnsi" w:cstheme="minorHAnsi"/>
          <w:sz w:val="22"/>
          <w:szCs w:val="22"/>
        </w:rPr>
        <w:t xml:space="preserve"> dané smlouvy. Podle čl. VIII odst. 6 mohou být smluvní pokuty </w:t>
      </w:r>
      <w:r w:rsidRPr="00DB3413">
        <w:rPr>
          <w:rStyle w:val="Siln"/>
          <w:rFonts w:asciiTheme="minorHAnsi" w:hAnsiTheme="minorHAnsi" w:cstheme="minorHAnsi"/>
          <w:sz w:val="22"/>
          <w:szCs w:val="22"/>
        </w:rPr>
        <w:t>požadovány opakovaně</w:t>
      </w:r>
      <w:r w:rsidRPr="00DB3413">
        <w:rPr>
          <w:rFonts w:asciiTheme="minorHAnsi" w:hAnsiTheme="minorHAnsi" w:cstheme="minorHAnsi"/>
          <w:sz w:val="22"/>
          <w:szCs w:val="22"/>
        </w:rPr>
        <w:t>.</w:t>
      </w:r>
    </w:p>
    <w:p w14:paraId="7C4ADABC" w14:textId="2CC2E8A0" w:rsidR="00DB3413" w:rsidRDefault="00DB3413" w:rsidP="009A023A">
      <w:pPr>
        <w:pStyle w:val="Nadpis4"/>
        <w:spacing w:before="0"/>
        <w:jc w:val="both"/>
        <w:rPr>
          <w:rStyle w:val="Siln"/>
          <w:rFonts w:asciiTheme="minorHAnsi" w:hAnsiTheme="minorHAnsi" w:cstheme="minorHAnsi"/>
          <w:i w:val="0"/>
          <w:iCs w:val="0"/>
          <w:color w:val="auto"/>
        </w:rPr>
      </w:pPr>
      <w:r w:rsidRPr="009A023A">
        <w:rPr>
          <w:rStyle w:val="Siln"/>
          <w:rFonts w:asciiTheme="minorHAnsi" w:hAnsiTheme="minorHAnsi" w:cstheme="minorHAnsi"/>
          <w:i w:val="0"/>
          <w:iCs w:val="0"/>
          <w:color w:val="auto"/>
        </w:rPr>
        <w:t>Postup k</w:t>
      </w:r>
      <w:r w:rsidR="00601333">
        <w:rPr>
          <w:rStyle w:val="Siln"/>
          <w:rFonts w:asciiTheme="minorHAnsi" w:hAnsiTheme="minorHAnsi" w:cstheme="minorHAnsi"/>
          <w:i w:val="0"/>
          <w:iCs w:val="0"/>
          <w:color w:val="auto"/>
        </w:rPr>
        <w:t> </w:t>
      </w:r>
      <w:r w:rsidRPr="009A023A">
        <w:rPr>
          <w:rStyle w:val="Siln"/>
          <w:rFonts w:asciiTheme="minorHAnsi" w:hAnsiTheme="minorHAnsi" w:cstheme="minorHAnsi"/>
          <w:i w:val="0"/>
          <w:iCs w:val="0"/>
          <w:color w:val="auto"/>
        </w:rPr>
        <w:t>projednání</w:t>
      </w:r>
    </w:p>
    <w:p w14:paraId="0FCC7162" w14:textId="4FCC0C57" w:rsidR="00601333" w:rsidRPr="00601333" w:rsidRDefault="00601333" w:rsidP="00601333">
      <w:pPr>
        <w:rPr>
          <w:u w:val="single"/>
        </w:rPr>
      </w:pPr>
      <w:r w:rsidRPr="00601333">
        <w:rPr>
          <w:u w:val="single"/>
        </w:rPr>
        <w:t>Dotační a úvěrové smlouvy jsou předkládány radě města</w:t>
      </w:r>
      <w:r w:rsidR="009F308B">
        <w:rPr>
          <w:u w:val="single"/>
        </w:rPr>
        <w:t xml:space="preserve"> a zastupitelstvu města</w:t>
      </w:r>
      <w:r w:rsidRPr="00601333">
        <w:rPr>
          <w:u w:val="single"/>
        </w:rPr>
        <w:t xml:space="preserve"> v rámci samostatných materiálů. </w:t>
      </w:r>
    </w:p>
    <w:p w14:paraId="6D2A8672" w14:textId="77777777" w:rsidR="00B718D6" w:rsidRPr="00DB3413" w:rsidRDefault="00B718D6" w:rsidP="00DB3413">
      <w:pPr>
        <w:jc w:val="both"/>
        <w:rPr>
          <w:rFonts w:cstheme="minorHAnsi"/>
          <w:i/>
          <w:iCs/>
          <w:color w:val="000000" w:themeColor="text1"/>
        </w:rPr>
      </w:pPr>
    </w:p>
    <w:p w14:paraId="56BA564F" w14:textId="60297445" w:rsidR="00CD7E50" w:rsidRPr="009A023A" w:rsidRDefault="002E4478" w:rsidP="00DB3413">
      <w:pPr>
        <w:jc w:val="both"/>
        <w:rPr>
          <w:rFonts w:cstheme="minorHAnsi"/>
          <w:b/>
          <w:bCs/>
          <w:color w:val="000000" w:themeColor="text1"/>
        </w:rPr>
      </w:pPr>
      <w:r w:rsidRPr="009A023A">
        <w:rPr>
          <w:rFonts w:cstheme="minorHAnsi"/>
          <w:b/>
          <w:bCs/>
          <w:color w:val="000000" w:themeColor="text1"/>
        </w:rPr>
        <w:t>Financování</w:t>
      </w:r>
    </w:p>
    <w:p w14:paraId="0E787117" w14:textId="138CBE1D" w:rsidR="007E7801" w:rsidRPr="00DB3413" w:rsidRDefault="007E7801" w:rsidP="00DB3413">
      <w:pPr>
        <w:jc w:val="both"/>
        <w:rPr>
          <w:rFonts w:cstheme="minorHAnsi"/>
          <w:color w:val="000000" w:themeColor="text1"/>
        </w:rPr>
      </w:pPr>
      <w:r w:rsidRPr="00DB3413">
        <w:rPr>
          <w:rFonts w:cstheme="minorHAnsi"/>
          <w:color w:val="000000" w:themeColor="text1"/>
        </w:rPr>
        <w:t>Podmínkou dotace je čerpání úvěru v minimální výši schválené dotace. Způsobilé náklady jsou propláce</w:t>
      </w:r>
      <w:r w:rsidR="00164DB4">
        <w:rPr>
          <w:rFonts w:cstheme="minorHAnsi"/>
          <w:color w:val="000000" w:themeColor="text1"/>
        </w:rPr>
        <w:t>ny</w:t>
      </w:r>
      <w:r w:rsidRPr="00DB3413">
        <w:rPr>
          <w:rFonts w:cstheme="minorHAnsi"/>
          <w:color w:val="000000" w:themeColor="text1"/>
        </w:rPr>
        <w:t xml:space="preserve"> v plné výši, až do vyčerpání dotace. Před zahájením čerpání úvěru je klient povinen vyčerpat povinné vlastní prostředky na způsobilé náklady.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2266"/>
        <w:gridCol w:w="2266"/>
      </w:tblGrid>
      <w:tr w:rsidR="00AB740B" w:rsidRPr="00DB3413" w14:paraId="6EE0DD07" w14:textId="77777777" w:rsidTr="007E7801">
        <w:tc>
          <w:tcPr>
            <w:tcW w:w="1838" w:type="dxa"/>
          </w:tcPr>
          <w:p w14:paraId="13F9DBC2" w14:textId="77777777" w:rsidR="00AB740B" w:rsidRPr="00DB3413" w:rsidRDefault="00AB740B" w:rsidP="00DB3413">
            <w:pPr>
              <w:jc w:val="both"/>
            </w:pPr>
          </w:p>
        </w:tc>
        <w:tc>
          <w:tcPr>
            <w:tcW w:w="2692" w:type="dxa"/>
          </w:tcPr>
          <w:p w14:paraId="73706FD9" w14:textId="03FD790A" w:rsidR="00AB740B" w:rsidRPr="00DB3413" w:rsidRDefault="007E7801" w:rsidP="00DB3413">
            <w:pPr>
              <w:jc w:val="both"/>
            </w:pPr>
            <w:r w:rsidRPr="00DB3413">
              <w:t>Poskytnutá dotace SFPI</w:t>
            </w:r>
          </w:p>
        </w:tc>
        <w:tc>
          <w:tcPr>
            <w:tcW w:w="2266" w:type="dxa"/>
          </w:tcPr>
          <w:p w14:paraId="3B7FD7E3" w14:textId="613AAD76" w:rsidR="00AB740B" w:rsidRPr="00DB3413" w:rsidRDefault="007E7801" w:rsidP="00DB3413">
            <w:pPr>
              <w:jc w:val="both"/>
            </w:pPr>
            <w:r w:rsidRPr="00DB3413">
              <w:t>Poskytnutý úvěr SFPI</w:t>
            </w:r>
          </w:p>
        </w:tc>
        <w:tc>
          <w:tcPr>
            <w:tcW w:w="2266" w:type="dxa"/>
          </w:tcPr>
          <w:p w14:paraId="3289E347" w14:textId="717A31CF" w:rsidR="00AB740B" w:rsidRPr="00DB3413" w:rsidRDefault="007E7801" w:rsidP="00DB3413">
            <w:pPr>
              <w:jc w:val="both"/>
            </w:pPr>
            <w:r w:rsidRPr="00DB3413">
              <w:t xml:space="preserve">Vlastní prostředky </w:t>
            </w:r>
          </w:p>
        </w:tc>
      </w:tr>
      <w:tr w:rsidR="00702B88" w14:paraId="0CDF2366" w14:textId="77777777" w:rsidTr="007E7801">
        <w:tc>
          <w:tcPr>
            <w:tcW w:w="1838" w:type="dxa"/>
          </w:tcPr>
          <w:p w14:paraId="438C4543" w14:textId="0A180A99" w:rsidR="00702B88" w:rsidRPr="00DB3413" w:rsidRDefault="00702B88" w:rsidP="00DB3413">
            <w:pPr>
              <w:jc w:val="both"/>
            </w:pPr>
            <w:r w:rsidRPr="00DB3413">
              <w:t>Šenovská 65</w:t>
            </w:r>
          </w:p>
        </w:tc>
        <w:tc>
          <w:tcPr>
            <w:tcW w:w="2692" w:type="dxa"/>
          </w:tcPr>
          <w:p w14:paraId="35E1C949" w14:textId="77777777" w:rsidR="00702B88" w:rsidRPr="00DB3413" w:rsidRDefault="00702B88" w:rsidP="00DB3413">
            <w:pPr>
              <w:pStyle w:val="xmsonormal"/>
              <w:jc w:val="both"/>
            </w:pPr>
            <w:r w:rsidRPr="00DB3413">
              <w:rPr>
                <w:color w:val="000000"/>
              </w:rPr>
              <w:t>7 501 902,22 Kč</w:t>
            </w:r>
          </w:p>
          <w:p w14:paraId="7749EE95" w14:textId="723454E2" w:rsidR="00702B88" w:rsidRPr="00DB3413" w:rsidRDefault="00702B88" w:rsidP="00DB3413">
            <w:pPr>
              <w:jc w:val="both"/>
            </w:pPr>
            <w:r w:rsidRPr="00DB3413">
              <w:t> </w:t>
            </w:r>
          </w:p>
        </w:tc>
        <w:tc>
          <w:tcPr>
            <w:tcW w:w="2266" w:type="dxa"/>
          </w:tcPr>
          <w:p w14:paraId="6F33C742" w14:textId="77777777" w:rsidR="00702B88" w:rsidRPr="00DB3413" w:rsidRDefault="00702B88" w:rsidP="00DB3413">
            <w:pPr>
              <w:pStyle w:val="xmsonormal"/>
              <w:jc w:val="both"/>
            </w:pPr>
            <w:r w:rsidRPr="00DB3413">
              <w:rPr>
                <w:color w:val="000000"/>
              </w:rPr>
              <w:t>7 501 902,22 Kč</w:t>
            </w:r>
          </w:p>
          <w:p w14:paraId="6A52C2C3" w14:textId="30701016" w:rsidR="00702B88" w:rsidRPr="00DB3413" w:rsidRDefault="00702B88" w:rsidP="00DB3413">
            <w:pPr>
              <w:jc w:val="both"/>
            </w:pPr>
            <w:r w:rsidRPr="00DB3413">
              <w:t> </w:t>
            </w:r>
          </w:p>
        </w:tc>
        <w:tc>
          <w:tcPr>
            <w:tcW w:w="2266" w:type="dxa"/>
          </w:tcPr>
          <w:p w14:paraId="315F83A4" w14:textId="77777777" w:rsidR="00702B88" w:rsidRDefault="00702B88" w:rsidP="00DB3413">
            <w:pPr>
              <w:pStyle w:val="xmsonormal"/>
              <w:jc w:val="both"/>
            </w:pPr>
            <w:r w:rsidRPr="00DB3413">
              <w:rPr>
                <w:color w:val="000000"/>
              </w:rPr>
              <w:t>4 480 335,36 Kč</w:t>
            </w:r>
          </w:p>
          <w:p w14:paraId="04069DC4" w14:textId="77777777" w:rsidR="00702B88" w:rsidRDefault="00702B88" w:rsidP="00DB3413">
            <w:pPr>
              <w:jc w:val="both"/>
            </w:pPr>
          </w:p>
        </w:tc>
      </w:tr>
      <w:tr w:rsidR="00702B88" w14:paraId="3FA54874" w14:textId="77777777" w:rsidTr="007E7801">
        <w:tc>
          <w:tcPr>
            <w:tcW w:w="1838" w:type="dxa"/>
          </w:tcPr>
          <w:p w14:paraId="675DC68F" w14:textId="1FE0FEF8" w:rsidR="00702B88" w:rsidRDefault="00702B88" w:rsidP="00DB3413">
            <w:pPr>
              <w:jc w:val="both"/>
            </w:pPr>
            <w:r>
              <w:t>Šenovská 67</w:t>
            </w:r>
          </w:p>
        </w:tc>
        <w:tc>
          <w:tcPr>
            <w:tcW w:w="2692" w:type="dxa"/>
          </w:tcPr>
          <w:p w14:paraId="0C11535C" w14:textId="77777777" w:rsidR="00702B88" w:rsidRDefault="00702B88" w:rsidP="00DB3413">
            <w:pPr>
              <w:pStyle w:val="xmsonormal"/>
              <w:jc w:val="both"/>
            </w:pPr>
            <w:r>
              <w:rPr>
                <w:color w:val="000000"/>
              </w:rPr>
              <w:t>7 501 902,22 Kč</w:t>
            </w:r>
          </w:p>
          <w:p w14:paraId="1397593B" w14:textId="15CC4110" w:rsidR="00702B88" w:rsidRDefault="00702B88" w:rsidP="00DB3413">
            <w:pPr>
              <w:jc w:val="both"/>
            </w:pPr>
            <w:r>
              <w:t> </w:t>
            </w:r>
          </w:p>
        </w:tc>
        <w:tc>
          <w:tcPr>
            <w:tcW w:w="2266" w:type="dxa"/>
          </w:tcPr>
          <w:p w14:paraId="326D3979" w14:textId="77777777" w:rsidR="00702B88" w:rsidRDefault="00702B88" w:rsidP="00DB3413">
            <w:pPr>
              <w:pStyle w:val="xmsonormal"/>
              <w:jc w:val="both"/>
            </w:pPr>
            <w:r>
              <w:rPr>
                <w:color w:val="000000"/>
              </w:rPr>
              <w:t>7 501 902,22 Kč</w:t>
            </w:r>
          </w:p>
          <w:p w14:paraId="3046FAE3" w14:textId="234293A7" w:rsidR="00702B88" w:rsidRDefault="00702B88" w:rsidP="00DB3413">
            <w:pPr>
              <w:jc w:val="both"/>
            </w:pPr>
            <w:r>
              <w:t> </w:t>
            </w:r>
          </w:p>
        </w:tc>
        <w:tc>
          <w:tcPr>
            <w:tcW w:w="2266" w:type="dxa"/>
          </w:tcPr>
          <w:p w14:paraId="7A9CAA1F" w14:textId="77777777" w:rsidR="00702B88" w:rsidRDefault="00702B88" w:rsidP="00DB3413">
            <w:pPr>
              <w:pStyle w:val="xmsonormal"/>
              <w:jc w:val="both"/>
            </w:pPr>
            <w:r>
              <w:rPr>
                <w:color w:val="000000"/>
              </w:rPr>
              <w:t>4 480 335,36 Kč</w:t>
            </w:r>
          </w:p>
          <w:p w14:paraId="2E1390C3" w14:textId="77777777" w:rsidR="00702B88" w:rsidRDefault="00702B88" w:rsidP="00DB3413">
            <w:pPr>
              <w:jc w:val="both"/>
            </w:pPr>
          </w:p>
        </w:tc>
      </w:tr>
      <w:tr w:rsidR="00702B88" w14:paraId="02649ED7" w14:textId="77777777" w:rsidTr="007E7801">
        <w:tc>
          <w:tcPr>
            <w:tcW w:w="1838" w:type="dxa"/>
          </w:tcPr>
          <w:p w14:paraId="42D96C26" w14:textId="63454E16" w:rsidR="00702B88" w:rsidRDefault="00702B88" w:rsidP="00DB3413">
            <w:pPr>
              <w:jc w:val="both"/>
            </w:pPr>
            <w:r>
              <w:t>Šenovská 69</w:t>
            </w:r>
          </w:p>
        </w:tc>
        <w:tc>
          <w:tcPr>
            <w:tcW w:w="2692" w:type="dxa"/>
          </w:tcPr>
          <w:p w14:paraId="4004F438" w14:textId="77777777" w:rsidR="00702B88" w:rsidRDefault="00702B88" w:rsidP="00DB3413">
            <w:pPr>
              <w:pStyle w:val="xmsonormal"/>
              <w:jc w:val="both"/>
            </w:pPr>
            <w:r>
              <w:rPr>
                <w:color w:val="000000"/>
              </w:rPr>
              <w:t>7 512 660,11 Kč</w:t>
            </w:r>
          </w:p>
          <w:p w14:paraId="2A16B7C3" w14:textId="77777777" w:rsidR="00702B88" w:rsidRDefault="00702B88" w:rsidP="00DB3413">
            <w:pPr>
              <w:jc w:val="both"/>
            </w:pPr>
          </w:p>
        </w:tc>
        <w:tc>
          <w:tcPr>
            <w:tcW w:w="2266" w:type="dxa"/>
          </w:tcPr>
          <w:p w14:paraId="7AE74B1F" w14:textId="77777777" w:rsidR="00702B88" w:rsidRDefault="00702B88" w:rsidP="00DB3413">
            <w:pPr>
              <w:pStyle w:val="xmsonormal"/>
              <w:jc w:val="both"/>
            </w:pPr>
            <w:r>
              <w:rPr>
                <w:color w:val="000000"/>
              </w:rPr>
              <w:t>7 512 660,11 Kč</w:t>
            </w:r>
          </w:p>
          <w:p w14:paraId="44947208" w14:textId="77777777" w:rsidR="00702B88" w:rsidRDefault="00702B88" w:rsidP="00DB3413">
            <w:pPr>
              <w:jc w:val="both"/>
            </w:pPr>
          </w:p>
        </w:tc>
        <w:tc>
          <w:tcPr>
            <w:tcW w:w="2266" w:type="dxa"/>
          </w:tcPr>
          <w:p w14:paraId="038472B2" w14:textId="77777777" w:rsidR="00702B88" w:rsidRDefault="00702B88" w:rsidP="00DB3413">
            <w:pPr>
              <w:pStyle w:val="xmsonormal"/>
              <w:jc w:val="both"/>
            </w:pPr>
            <w:r>
              <w:rPr>
                <w:color w:val="000000"/>
              </w:rPr>
              <w:t>4 485 714,31 Kč</w:t>
            </w:r>
          </w:p>
          <w:p w14:paraId="0DE76D9B" w14:textId="77777777" w:rsidR="00702B88" w:rsidRDefault="00702B88" w:rsidP="00DB3413">
            <w:pPr>
              <w:jc w:val="both"/>
            </w:pPr>
          </w:p>
        </w:tc>
      </w:tr>
      <w:tr w:rsidR="00702B88" w14:paraId="11147EB5" w14:textId="77777777" w:rsidTr="007E7801">
        <w:tc>
          <w:tcPr>
            <w:tcW w:w="1838" w:type="dxa"/>
          </w:tcPr>
          <w:p w14:paraId="64854101" w14:textId="0E0A5C8C" w:rsidR="00702B88" w:rsidRDefault="00702B88" w:rsidP="00DB3413">
            <w:pPr>
              <w:jc w:val="both"/>
            </w:pPr>
            <w:r>
              <w:t xml:space="preserve">Celkem </w:t>
            </w:r>
          </w:p>
        </w:tc>
        <w:tc>
          <w:tcPr>
            <w:tcW w:w="2692" w:type="dxa"/>
          </w:tcPr>
          <w:p w14:paraId="7D138AB6" w14:textId="77777777" w:rsidR="00702B88" w:rsidRDefault="00702B88" w:rsidP="00DB3413">
            <w:pPr>
              <w:pStyle w:val="xmsonormal"/>
              <w:jc w:val="both"/>
            </w:pPr>
            <w:r>
              <w:rPr>
                <w:b/>
                <w:bCs/>
                <w:color w:val="000000"/>
              </w:rPr>
              <w:t>22 516 464,55 Kč</w:t>
            </w:r>
          </w:p>
          <w:p w14:paraId="671BB541" w14:textId="77777777" w:rsidR="00702B88" w:rsidRDefault="00702B88" w:rsidP="00DB3413">
            <w:pPr>
              <w:pStyle w:val="xmsonormal"/>
              <w:jc w:val="both"/>
              <w:rPr>
                <w:color w:val="000000"/>
              </w:rPr>
            </w:pPr>
          </w:p>
        </w:tc>
        <w:tc>
          <w:tcPr>
            <w:tcW w:w="2266" w:type="dxa"/>
          </w:tcPr>
          <w:p w14:paraId="22691956" w14:textId="77777777" w:rsidR="00702B88" w:rsidRDefault="00702B88" w:rsidP="00DB3413">
            <w:pPr>
              <w:pStyle w:val="xmsonormal"/>
              <w:jc w:val="both"/>
            </w:pPr>
            <w:r>
              <w:rPr>
                <w:b/>
                <w:bCs/>
                <w:color w:val="000000"/>
              </w:rPr>
              <w:t>22 516 464,55 Kč</w:t>
            </w:r>
          </w:p>
          <w:p w14:paraId="2D055C0D" w14:textId="77777777" w:rsidR="00702B88" w:rsidRDefault="00702B88" w:rsidP="00DB3413">
            <w:pPr>
              <w:pStyle w:val="xmsonormal"/>
              <w:jc w:val="both"/>
              <w:rPr>
                <w:color w:val="000000"/>
              </w:rPr>
            </w:pPr>
          </w:p>
        </w:tc>
        <w:tc>
          <w:tcPr>
            <w:tcW w:w="2266" w:type="dxa"/>
          </w:tcPr>
          <w:p w14:paraId="5BC1033E" w14:textId="77777777" w:rsidR="00702B88" w:rsidRDefault="00702B88" w:rsidP="00DB3413">
            <w:pPr>
              <w:pStyle w:val="xmsonormal"/>
              <w:jc w:val="both"/>
            </w:pPr>
            <w:r>
              <w:rPr>
                <w:b/>
                <w:bCs/>
                <w:color w:val="000000"/>
              </w:rPr>
              <w:t>13 446 385,03 Kč</w:t>
            </w:r>
          </w:p>
          <w:p w14:paraId="41A9259B" w14:textId="77777777" w:rsidR="00702B88" w:rsidRDefault="00702B88" w:rsidP="00DB3413">
            <w:pPr>
              <w:pStyle w:val="xmsonormal"/>
              <w:jc w:val="both"/>
              <w:rPr>
                <w:color w:val="000000"/>
              </w:rPr>
            </w:pPr>
          </w:p>
        </w:tc>
      </w:tr>
    </w:tbl>
    <w:p w14:paraId="27C10BF9" w14:textId="77DB9805" w:rsidR="00AB740B" w:rsidRDefault="00AB740B" w:rsidP="00DB3413">
      <w:pPr>
        <w:jc w:val="both"/>
        <w:rPr>
          <w:rFonts w:cstheme="minorHAnsi"/>
          <w:b/>
          <w:bCs/>
          <w:color w:val="000000"/>
          <w:shd w:val="clear" w:color="auto" w:fill="FFFFFF"/>
        </w:rPr>
      </w:pPr>
    </w:p>
    <w:p w14:paraId="1DD4410D" w14:textId="77777777" w:rsidR="00164DB4" w:rsidRPr="00164DB4" w:rsidRDefault="00164DB4" w:rsidP="00164DB4">
      <w:pPr>
        <w:pStyle w:val="Normln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64DB4">
        <w:rPr>
          <w:rFonts w:asciiTheme="minorHAnsi" w:hAnsiTheme="minorHAnsi" w:cstheme="minorHAnsi"/>
          <w:b/>
          <w:bCs/>
          <w:sz w:val="22"/>
          <w:szCs w:val="22"/>
        </w:rPr>
        <w:t>Částky uvedené ve smlouvách představují maximální výši, kterou může městský obvod obdržet. Byly vypočteny na základě původního rozpočtu. Po vysoutěžení zhotovitele bude zpracován nový položkový rozpočet, na jehož základě dojde k přepočtu a následnému uzavření dodatků ke smlouvám.</w:t>
      </w:r>
    </w:p>
    <w:p w14:paraId="72D059C0" w14:textId="77777777" w:rsidR="00164DB4" w:rsidRPr="00164DB4" w:rsidRDefault="00164DB4" w:rsidP="00164DB4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164DB4">
        <w:rPr>
          <w:rFonts w:asciiTheme="minorHAnsi" w:hAnsiTheme="minorHAnsi" w:cstheme="minorHAnsi"/>
          <w:sz w:val="22"/>
          <w:szCs w:val="22"/>
        </w:rPr>
        <w:lastRenderedPageBreak/>
        <w:t xml:space="preserve">Žadatel nejprve podepisuje se Státním fondem smlouvu o poskytnutí dotace a úvěru. Následně předkládá podklady potřebné pro zahájení čerpání, mezi nimiž je i vysoutěžený položkový rozpočet. Na základě těchto podkladů budou uzavřeny dodatky jak k dotační, tak k úvěrové smlouvě. V souvislosti s tím </w:t>
      </w:r>
      <w:proofErr w:type="gramStart"/>
      <w:r w:rsidRPr="00164DB4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164DB4">
        <w:rPr>
          <w:rFonts w:asciiTheme="minorHAnsi" w:hAnsiTheme="minorHAnsi" w:cstheme="minorHAnsi"/>
          <w:sz w:val="22"/>
          <w:szCs w:val="22"/>
        </w:rPr>
        <w:t xml:space="preserve"> žadatel v případě úvěru také smluvní dokumenty týkající se zajištění úvěru.</w:t>
      </w:r>
    </w:p>
    <w:p w14:paraId="43EE6E24" w14:textId="5DBC49A5" w:rsidR="007E7801" w:rsidRPr="00164DB4" w:rsidRDefault="00164DB4" w:rsidP="00164DB4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164DB4">
        <w:rPr>
          <w:rFonts w:asciiTheme="minorHAnsi" w:hAnsiTheme="minorHAnsi" w:cstheme="minorHAnsi"/>
          <w:sz w:val="22"/>
          <w:szCs w:val="22"/>
        </w:rPr>
        <w:t>Po uzavření dodatku ke smlouvám a dokumentů k zajištění úvěru může žadatel zahájit čerpání prostředků.</w:t>
      </w:r>
    </w:p>
    <w:p w14:paraId="2E272EE1" w14:textId="6EFABAE4" w:rsidR="007E7801" w:rsidRPr="00164DB4" w:rsidRDefault="00BE74E0" w:rsidP="00DB3413">
      <w:pPr>
        <w:jc w:val="both"/>
        <w:rPr>
          <w:rFonts w:cstheme="minorHAnsi"/>
          <w:u w:val="single"/>
        </w:rPr>
      </w:pPr>
      <w:r w:rsidRPr="00164DB4">
        <w:rPr>
          <w:rFonts w:cstheme="minorHAnsi"/>
          <w:u w:val="single"/>
        </w:rPr>
        <w:t>Předpoklad financování</w:t>
      </w:r>
    </w:p>
    <w:tbl>
      <w:tblPr>
        <w:tblStyle w:val="Mkatabulky"/>
        <w:tblW w:w="0" w:type="auto"/>
        <w:tblInd w:w="215" w:type="dxa"/>
        <w:tblLook w:val="04A0" w:firstRow="1" w:lastRow="0" w:firstColumn="1" w:lastColumn="0" w:noHBand="0" w:noVBand="1"/>
      </w:tblPr>
      <w:tblGrid>
        <w:gridCol w:w="5876"/>
        <w:gridCol w:w="2971"/>
      </w:tblGrid>
      <w:tr w:rsidR="007E7801" w:rsidRPr="00F36516" w14:paraId="6F708D6A" w14:textId="77777777" w:rsidTr="0035691E">
        <w:trPr>
          <w:trHeight w:hRule="exact" w:val="284"/>
        </w:trPr>
        <w:tc>
          <w:tcPr>
            <w:tcW w:w="5876" w:type="dxa"/>
            <w:vAlign w:val="center"/>
          </w:tcPr>
          <w:p w14:paraId="303E3E70" w14:textId="77777777" w:rsidR="007E7801" w:rsidRPr="00F36516" w:rsidRDefault="007E7801" w:rsidP="00DB3413">
            <w:pPr>
              <w:jc w:val="both"/>
            </w:pPr>
            <w:bookmarkStart w:id="0" w:name="_Hlk134081733"/>
            <w:r w:rsidRPr="00F36516">
              <w:t xml:space="preserve">Celkové realizační náklady  </w:t>
            </w:r>
          </w:p>
        </w:tc>
        <w:tc>
          <w:tcPr>
            <w:tcW w:w="2971" w:type="dxa"/>
          </w:tcPr>
          <w:p w14:paraId="5EEE1A37" w14:textId="4ECB3D37" w:rsidR="007E7801" w:rsidRPr="00F36516" w:rsidRDefault="00BE74E0" w:rsidP="00DB3413">
            <w:pPr>
              <w:jc w:val="both"/>
            </w:pPr>
            <w:r>
              <w:t>58 479 314,13 Kč</w:t>
            </w:r>
          </w:p>
        </w:tc>
      </w:tr>
      <w:tr w:rsidR="00702B88" w:rsidRPr="00F36516" w14:paraId="7D76C62C" w14:textId="77777777" w:rsidTr="0035691E">
        <w:trPr>
          <w:trHeight w:hRule="exact" w:val="284"/>
        </w:trPr>
        <w:tc>
          <w:tcPr>
            <w:tcW w:w="5876" w:type="dxa"/>
            <w:vAlign w:val="center"/>
          </w:tcPr>
          <w:p w14:paraId="4BEE08C1" w14:textId="77777777" w:rsidR="00702B88" w:rsidRPr="00F36516" w:rsidRDefault="00702B88" w:rsidP="00DB3413">
            <w:pPr>
              <w:jc w:val="both"/>
            </w:pPr>
            <w:r>
              <w:t>Dotace SFPI</w:t>
            </w:r>
          </w:p>
        </w:tc>
        <w:tc>
          <w:tcPr>
            <w:tcW w:w="2971" w:type="dxa"/>
          </w:tcPr>
          <w:p w14:paraId="587278AF" w14:textId="77777777" w:rsidR="00702B88" w:rsidRDefault="00702B88" w:rsidP="00DB3413">
            <w:pPr>
              <w:pStyle w:val="xmsonormal"/>
              <w:jc w:val="both"/>
            </w:pPr>
            <w:r>
              <w:rPr>
                <w:b/>
                <w:bCs/>
                <w:color w:val="000000"/>
              </w:rPr>
              <w:t>22 516 464,55 Kč</w:t>
            </w:r>
          </w:p>
          <w:p w14:paraId="05D2A7AA" w14:textId="7021B6E6" w:rsidR="00702B88" w:rsidRPr="00F36516" w:rsidRDefault="00702B88" w:rsidP="00DB3413">
            <w:pPr>
              <w:jc w:val="both"/>
            </w:pPr>
          </w:p>
        </w:tc>
      </w:tr>
      <w:tr w:rsidR="00702B88" w:rsidRPr="00F36516" w14:paraId="110DB3C7" w14:textId="77777777" w:rsidTr="0035691E">
        <w:trPr>
          <w:trHeight w:hRule="exact" w:val="284"/>
        </w:trPr>
        <w:tc>
          <w:tcPr>
            <w:tcW w:w="5876" w:type="dxa"/>
            <w:vAlign w:val="center"/>
          </w:tcPr>
          <w:p w14:paraId="509D86A3" w14:textId="77777777" w:rsidR="00702B88" w:rsidRPr="00F36516" w:rsidRDefault="00702B88" w:rsidP="00DB3413">
            <w:pPr>
              <w:jc w:val="both"/>
            </w:pPr>
            <w:r>
              <w:t>Úvěr SFPI</w:t>
            </w:r>
          </w:p>
        </w:tc>
        <w:tc>
          <w:tcPr>
            <w:tcW w:w="2971" w:type="dxa"/>
          </w:tcPr>
          <w:p w14:paraId="292C06CD" w14:textId="77777777" w:rsidR="00702B88" w:rsidRDefault="00702B88" w:rsidP="00DB3413">
            <w:pPr>
              <w:pStyle w:val="xmsonormal"/>
              <w:jc w:val="both"/>
            </w:pPr>
            <w:r>
              <w:rPr>
                <w:b/>
                <w:bCs/>
                <w:color w:val="000000"/>
              </w:rPr>
              <w:t>22 516 464,55 Kč</w:t>
            </w:r>
          </w:p>
          <w:p w14:paraId="4642F069" w14:textId="21DFFE50" w:rsidR="00702B88" w:rsidRPr="00F36516" w:rsidRDefault="00702B88" w:rsidP="00DB3413">
            <w:pPr>
              <w:jc w:val="both"/>
            </w:pPr>
          </w:p>
        </w:tc>
      </w:tr>
      <w:tr w:rsidR="00702B88" w:rsidRPr="00F36516" w14:paraId="4B62D840" w14:textId="77777777" w:rsidTr="0035691E">
        <w:trPr>
          <w:trHeight w:hRule="exact" w:val="284"/>
        </w:trPr>
        <w:tc>
          <w:tcPr>
            <w:tcW w:w="5876" w:type="dxa"/>
            <w:vAlign w:val="center"/>
          </w:tcPr>
          <w:p w14:paraId="55B6A5A5" w14:textId="77777777" w:rsidR="00702B88" w:rsidRPr="00AF105D" w:rsidRDefault="00702B88" w:rsidP="00DB3413">
            <w:pPr>
              <w:jc w:val="both"/>
              <w:rPr>
                <w:b/>
                <w:bCs/>
              </w:rPr>
            </w:pPr>
            <w:r w:rsidRPr="00AF105D">
              <w:rPr>
                <w:b/>
                <w:bCs/>
              </w:rPr>
              <w:t xml:space="preserve">Částka ke spolufinancování </w:t>
            </w:r>
          </w:p>
        </w:tc>
        <w:tc>
          <w:tcPr>
            <w:tcW w:w="2971" w:type="dxa"/>
          </w:tcPr>
          <w:p w14:paraId="3E974176" w14:textId="1E75E2D0" w:rsidR="00702B88" w:rsidRDefault="00BE74E0" w:rsidP="00DB3413">
            <w:pPr>
              <w:pStyle w:val="xmsonormal"/>
              <w:jc w:val="right"/>
            </w:pPr>
            <w:r>
              <w:rPr>
                <w:b/>
                <w:bCs/>
              </w:rPr>
              <w:t xml:space="preserve"> 13 446 385,03 Kč</w:t>
            </w:r>
          </w:p>
          <w:p w14:paraId="5AFD884D" w14:textId="4BB71D3D" w:rsidR="00702B88" w:rsidRPr="00AF105D" w:rsidRDefault="00702B88" w:rsidP="00DB3413">
            <w:pPr>
              <w:jc w:val="both"/>
              <w:rPr>
                <w:b/>
                <w:bCs/>
              </w:rPr>
            </w:pPr>
          </w:p>
        </w:tc>
      </w:tr>
      <w:tr w:rsidR="00702B88" w:rsidRPr="00F36516" w14:paraId="5E41B852" w14:textId="77777777" w:rsidTr="0035691E">
        <w:trPr>
          <w:trHeight w:hRule="exact" w:val="284"/>
        </w:trPr>
        <w:tc>
          <w:tcPr>
            <w:tcW w:w="5876" w:type="dxa"/>
            <w:vAlign w:val="center"/>
          </w:tcPr>
          <w:p w14:paraId="2A0EE6C5" w14:textId="4A13882B" w:rsidR="00702B88" w:rsidRPr="00F36516" w:rsidRDefault="00702B88" w:rsidP="00DB3413">
            <w:pPr>
              <w:jc w:val="both"/>
            </w:pPr>
            <w:r w:rsidRPr="00F36516">
              <w:t xml:space="preserve">- </w:t>
            </w:r>
            <w:r w:rsidRPr="00AF105D">
              <w:t xml:space="preserve">z toho spolufinancování SMO </w:t>
            </w:r>
            <w:r w:rsidR="00BE74E0">
              <w:t>6</w:t>
            </w:r>
            <w:r w:rsidRPr="00AF105D">
              <w:t>0 %</w:t>
            </w:r>
          </w:p>
        </w:tc>
        <w:tc>
          <w:tcPr>
            <w:tcW w:w="2971" w:type="dxa"/>
          </w:tcPr>
          <w:p w14:paraId="18B7CD0A" w14:textId="16B8CC0D" w:rsidR="00702B88" w:rsidRPr="00F36516" w:rsidRDefault="00BE74E0" w:rsidP="00DB3413">
            <w:pPr>
              <w:jc w:val="both"/>
            </w:pPr>
            <w:r>
              <w:t>8 067 831,02</w:t>
            </w:r>
            <w:r w:rsidR="00702B88" w:rsidRPr="00F36516">
              <w:t xml:space="preserve"> Kč</w:t>
            </w:r>
          </w:p>
        </w:tc>
      </w:tr>
      <w:tr w:rsidR="00702B88" w:rsidRPr="00F36516" w14:paraId="40968933" w14:textId="77777777" w:rsidTr="0035691E">
        <w:trPr>
          <w:trHeight w:hRule="exact" w:val="284"/>
        </w:trPr>
        <w:tc>
          <w:tcPr>
            <w:tcW w:w="5876" w:type="dxa"/>
            <w:vAlign w:val="center"/>
          </w:tcPr>
          <w:p w14:paraId="1A490AC4" w14:textId="5DDD868F" w:rsidR="00702B88" w:rsidRPr="00F36516" w:rsidRDefault="00702B88" w:rsidP="00DB3413">
            <w:pPr>
              <w:jc w:val="both"/>
              <w:rPr>
                <w:b/>
                <w:bCs/>
              </w:rPr>
            </w:pPr>
            <w:r w:rsidRPr="00F36516">
              <w:t xml:space="preserve">- </w:t>
            </w:r>
            <w:r w:rsidRPr="00AF105D">
              <w:t xml:space="preserve">z toho spolufinancování Mob </w:t>
            </w:r>
            <w:r w:rsidR="00BE74E0">
              <w:t>4</w:t>
            </w:r>
            <w:r w:rsidRPr="00AF105D">
              <w:t>0 %</w:t>
            </w:r>
          </w:p>
        </w:tc>
        <w:tc>
          <w:tcPr>
            <w:tcW w:w="2971" w:type="dxa"/>
          </w:tcPr>
          <w:p w14:paraId="7F2EC708" w14:textId="25D8E2D0" w:rsidR="00702B88" w:rsidRPr="00F36516" w:rsidRDefault="00BE74E0" w:rsidP="00DB3413">
            <w:pPr>
              <w:jc w:val="both"/>
              <w:rPr>
                <w:b/>
                <w:bCs/>
              </w:rPr>
            </w:pPr>
            <w:r>
              <w:t>5 378 554,01</w:t>
            </w:r>
            <w:r w:rsidR="00702B88" w:rsidRPr="00F36516">
              <w:t xml:space="preserve"> Kč</w:t>
            </w:r>
          </w:p>
        </w:tc>
      </w:tr>
      <w:bookmarkEnd w:id="0"/>
    </w:tbl>
    <w:p w14:paraId="58AF3F83" w14:textId="7F1CE4F6" w:rsidR="00362EA2" w:rsidRDefault="00362EA2" w:rsidP="00DB3413">
      <w:pPr>
        <w:jc w:val="both"/>
        <w:rPr>
          <w:rFonts w:cstheme="minorHAnsi"/>
          <w:b/>
          <w:bCs/>
          <w:color w:val="000000"/>
          <w:shd w:val="clear" w:color="auto" w:fill="FFFFFF"/>
        </w:rPr>
      </w:pPr>
    </w:p>
    <w:p w14:paraId="2189D149" w14:textId="7F665434" w:rsidR="00362EA2" w:rsidRPr="00362EA2" w:rsidRDefault="00362EA2" w:rsidP="00DB3413">
      <w:pPr>
        <w:jc w:val="both"/>
        <w:rPr>
          <w:rFonts w:cstheme="minorHAnsi"/>
          <w:color w:val="000000"/>
          <w:shd w:val="clear" w:color="auto" w:fill="FFFFFF"/>
        </w:rPr>
      </w:pPr>
      <w:r w:rsidRPr="00362EA2">
        <w:rPr>
          <w:rFonts w:cstheme="minorHAnsi"/>
          <w:color w:val="000000"/>
          <w:shd w:val="clear" w:color="auto" w:fill="FFFFFF"/>
        </w:rPr>
        <w:t xml:space="preserve">Předfinancování není vyžadováno, </w:t>
      </w:r>
      <w:r w:rsidRPr="00362EA2">
        <w:t>proplácení je možné na základě uhrazených i neuhrazených faktur prostřednictvím portálu SFPI</w:t>
      </w:r>
    </w:p>
    <w:p w14:paraId="5CC998E6" w14:textId="32F2CD77" w:rsidR="00487EDE" w:rsidRPr="00362EA2" w:rsidRDefault="00487EDE" w:rsidP="00DB3413">
      <w:pPr>
        <w:jc w:val="both"/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</w:pPr>
      <w:r w:rsidRPr="00362EA2">
        <w:rPr>
          <w:rFonts w:cstheme="minorHAnsi"/>
          <w:b/>
          <w:bCs/>
          <w:color w:val="000000"/>
          <w:shd w:val="clear" w:color="auto" w:fill="FFFFFF"/>
        </w:rPr>
        <w:t>Harmonogram</w:t>
      </w:r>
    </w:p>
    <w:p w14:paraId="3CFB8619" w14:textId="628918A4" w:rsidR="00487EDE" w:rsidRDefault="007E7801" w:rsidP="00DB3413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>Předpoklad z</w:t>
      </w:r>
      <w:r w:rsidR="00487EDE">
        <w:rPr>
          <w:rFonts w:cstheme="minorHAnsi"/>
          <w:b/>
          <w:bCs/>
          <w:color w:val="000000"/>
          <w:shd w:val="clear" w:color="auto" w:fill="FFFFFF"/>
        </w:rPr>
        <w:t xml:space="preserve">ahájení realizace projektu je </w:t>
      </w:r>
      <w:r>
        <w:rPr>
          <w:rFonts w:cstheme="minorHAnsi"/>
          <w:b/>
          <w:bCs/>
          <w:color w:val="000000"/>
          <w:shd w:val="clear" w:color="auto" w:fill="FFFFFF"/>
        </w:rPr>
        <w:t>1. 3. 2026.</w:t>
      </w:r>
    </w:p>
    <w:p w14:paraId="7A8189CC" w14:textId="562A7C86" w:rsidR="00966428" w:rsidRDefault="007E7801" w:rsidP="00966428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>Projekt musí být ukončen do 4 let od nabytí právní moci</w:t>
      </w:r>
      <w:r w:rsidR="00702B88">
        <w:rPr>
          <w:rFonts w:cstheme="minorHAnsi"/>
          <w:b/>
          <w:bCs/>
          <w:color w:val="000000"/>
          <w:shd w:val="clear" w:color="auto" w:fill="FFFFFF"/>
        </w:rPr>
        <w:t xml:space="preserve"> smluv. </w:t>
      </w:r>
      <w:r w:rsidR="00966428">
        <w:rPr>
          <w:rFonts w:cstheme="minorHAnsi"/>
          <w:color w:val="000000"/>
          <w:shd w:val="clear" w:color="auto" w:fill="FFFFFF"/>
        </w:rPr>
        <w:t>Bytové jednotky musí být obsazeny do 6 měsíců od kolaudace bytů.</w:t>
      </w:r>
    </w:p>
    <w:p w14:paraId="569059C9" w14:textId="77777777" w:rsidR="00966428" w:rsidRPr="001375A0" w:rsidRDefault="00966428" w:rsidP="00966428">
      <w:pPr>
        <w:jc w:val="both"/>
        <w:rPr>
          <w:rFonts w:cstheme="minorHAnsi"/>
          <w:color w:val="000000"/>
          <w:shd w:val="clear" w:color="auto" w:fill="FFFFFF"/>
        </w:rPr>
      </w:pPr>
      <w:r w:rsidRPr="001375A0">
        <w:rPr>
          <w:rFonts w:cstheme="minorHAnsi"/>
          <w:color w:val="000000"/>
        </w:rPr>
        <w:t>Realizace akce maximálně do 31.12.2029</w:t>
      </w:r>
      <w:r w:rsidRPr="001375A0">
        <w:rPr>
          <w:rFonts w:cstheme="minorHAnsi"/>
          <w:color w:val="000000"/>
          <w:shd w:val="clear" w:color="auto" w:fill="FFFFFF"/>
        </w:rPr>
        <w:t>.</w:t>
      </w:r>
    </w:p>
    <w:p w14:paraId="6BEB20C5" w14:textId="77777777" w:rsidR="007E7801" w:rsidRDefault="007E7801" w:rsidP="00DB3413">
      <w:pPr>
        <w:jc w:val="both"/>
        <w:rPr>
          <w:rFonts w:cstheme="minorHAnsi"/>
          <w:color w:val="000000"/>
          <w:shd w:val="clear" w:color="auto" w:fill="FFFFFF"/>
        </w:rPr>
      </w:pPr>
    </w:p>
    <w:p w14:paraId="4CC8120B" w14:textId="469C1A3A" w:rsidR="00872690" w:rsidRPr="00EF65BB" w:rsidRDefault="00872690" w:rsidP="00DB34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65BB">
        <w:rPr>
          <w:rFonts w:cstheme="minorHAnsi"/>
        </w:rPr>
        <w:t xml:space="preserve">Dle článku 10 odst. 15 písm. b) obecně závazné vyhlášky statutárního města Ostravy č. 10/2022, Statut města Ostravy, </w:t>
      </w:r>
      <w:r>
        <w:rPr>
          <w:rFonts w:cstheme="minorHAnsi"/>
        </w:rPr>
        <w:t xml:space="preserve">ve znění pozdějších změn a doplňků, </w:t>
      </w:r>
      <w:r w:rsidRPr="00EF65BB">
        <w:rPr>
          <w:rFonts w:cstheme="minorHAnsi"/>
        </w:rPr>
        <w:t>návrh smlouvy, popř. rozhodnutí, na něhož budou finanční prostředky z výše uvedených zdrojů poskytnuty, je městský obvod povinen včetně všech souvisejících dokumentů předložit radě města k posouzení a vyjádření a je povinen řídit se vyjádřením rady města v celém jeho rozsahu. O uzavření příslušné smlouvy rozhoduje kompetentní orgán městského obvodu.</w:t>
      </w:r>
    </w:p>
    <w:p w14:paraId="32690FD5" w14:textId="77777777" w:rsidR="00872690" w:rsidRPr="00EF65BB" w:rsidRDefault="00872690" w:rsidP="00DB34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2A92D4B" w14:textId="2AA0B3A7" w:rsidR="009F308B" w:rsidRDefault="009F308B" w:rsidP="009F308B">
      <w:pPr>
        <w:jc w:val="both"/>
      </w:pPr>
      <w:r>
        <w:t xml:space="preserve">Rada městského obvodu schválila na svém jednání dne </w:t>
      </w:r>
      <w:r w:rsidR="00767B5D">
        <w:t>11. 8. 2025 přijetí dotace</w:t>
      </w:r>
      <w:r>
        <w:t xml:space="preserve"> (usnesením č. </w:t>
      </w:r>
      <w:r w:rsidR="000C5691">
        <w:t>3657</w:t>
      </w:r>
      <w:r>
        <w:t>/</w:t>
      </w:r>
      <w:proofErr w:type="spellStart"/>
      <w:r>
        <w:t>RMOb-Sle</w:t>
      </w:r>
      <w:proofErr w:type="spellEnd"/>
      <w:r>
        <w:t>/2226/</w:t>
      </w:r>
      <w:r w:rsidR="000C5691">
        <w:t>109</w:t>
      </w:r>
      <w:r>
        <w:t xml:space="preserve">), </w:t>
      </w:r>
      <w:r w:rsidR="00767B5D">
        <w:t>rada města</w:t>
      </w:r>
      <w:r>
        <w:t xml:space="preserve"> </w:t>
      </w:r>
      <w:r w:rsidR="00767B5D">
        <w:t>schválila přijetí dotace</w:t>
      </w:r>
      <w:r>
        <w:t xml:space="preserve"> dne </w:t>
      </w:r>
      <w:r w:rsidR="00767B5D">
        <w:t>9. 9. 2025</w:t>
      </w:r>
      <w:r>
        <w:t xml:space="preserve"> (usnesením č. 0</w:t>
      </w:r>
      <w:r w:rsidR="000C5691">
        <w:t>8084</w:t>
      </w:r>
      <w:r>
        <w:t>/RM2226/</w:t>
      </w:r>
      <w:r w:rsidR="000C5691">
        <w:t>113</w:t>
      </w:r>
      <w:r>
        <w:t>).</w:t>
      </w:r>
    </w:p>
    <w:p w14:paraId="4269DF52" w14:textId="77777777" w:rsidR="009F308B" w:rsidRDefault="009F308B" w:rsidP="00DB3413">
      <w:pPr>
        <w:jc w:val="both"/>
      </w:pPr>
    </w:p>
    <w:p w14:paraId="63C3DA28" w14:textId="620241D7" w:rsidR="00872690" w:rsidRPr="00522657" w:rsidRDefault="00872690" w:rsidP="00DB3413">
      <w:pPr>
        <w:jc w:val="both"/>
        <w:rPr>
          <w:rFonts w:cstheme="minorHAnsi"/>
          <w:color w:val="000000"/>
          <w:shd w:val="clear" w:color="auto" w:fill="FFFFFF"/>
        </w:rPr>
      </w:pPr>
    </w:p>
    <w:sectPr w:rsidR="00872690" w:rsidRPr="00522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66EB"/>
    <w:multiLevelType w:val="multilevel"/>
    <w:tmpl w:val="23E8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00C3D"/>
    <w:multiLevelType w:val="multilevel"/>
    <w:tmpl w:val="7A2A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C631F"/>
    <w:multiLevelType w:val="hybridMultilevel"/>
    <w:tmpl w:val="E6282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4050C"/>
    <w:multiLevelType w:val="multilevel"/>
    <w:tmpl w:val="97AC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C4F8F"/>
    <w:multiLevelType w:val="multilevel"/>
    <w:tmpl w:val="A89E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C28517A"/>
    <w:multiLevelType w:val="hybridMultilevel"/>
    <w:tmpl w:val="F9782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31EE1"/>
    <w:multiLevelType w:val="multilevel"/>
    <w:tmpl w:val="B46C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147A67"/>
    <w:multiLevelType w:val="multilevel"/>
    <w:tmpl w:val="25DA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795783">
    <w:abstractNumId w:val="7"/>
  </w:num>
  <w:num w:numId="2" w16cid:durableId="274336725">
    <w:abstractNumId w:val="4"/>
  </w:num>
  <w:num w:numId="3" w16cid:durableId="534272160">
    <w:abstractNumId w:val="2"/>
  </w:num>
  <w:num w:numId="4" w16cid:durableId="1694070750">
    <w:abstractNumId w:val="5"/>
  </w:num>
  <w:num w:numId="5" w16cid:durableId="991905442">
    <w:abstractNumId w:val="1"/>
  </w:num>
  <w:num w:numId="6" w16cid:durableId="65153862">
    <w:abstractNumId w:val="3"/>
  </w:num>
  <w:num w:numId="7" w16cid:durableId="1782141617">
    <w:abstractNumId w:val="6"/>
  </w:num>
  <w:num w:numId="8" w16cid:durableId="62018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DE"/>
    <w:rsid w:val="00011C9C"/>
    <w:rsid w:val="000431AC"/>
    <w:rsid w:val="00050CC7"/>
    <w:rsid w:val="00080C5A"/>
    <w:rsid w:val="00093F8C"/>
    <w:rsid w:val="00095A05"/>
    <w:rsid w:val="000A623F"/>
    <w:rsid w:val="000A66EC"/>
    <w:rsid w:val="000B30C3"/>
    <w:rsid w:val="000B4CC1"/>
    <w:rsid w:val="000B75C6"/>
    <w:rsid w:val="000C5691"/>
    <w:rsid w:val="000F396D"/>
    <w:rsid w:val="00103458"/>
    <w:rsid w:val="00121EB4"/>
    <w:rsid w:val="00132AAC"/>
    <w:rsid w:val="00155AE8"/>
    <w:rsid w:val="00164A53"/>
    <w:rsid w:val="00164DB4"/>
    <w:rsid w:val="00180336"/>
    <w:rsid w:val="001B0129"/>
    <w:rsid w:val="001B5E0C"/>
    <w:rsid w:val="001D10E5"/>
    <w:rsid w:val="00231160"/>
    <w:rsid w:val="00233C09"/>
    <w:rsid w:val="002354E9"/>
    <w:rsid w:val="0024348C"/>
    <w:rsid w:val="00246F52"/>
    <w:rsid w:val="00251CC6"/>
    <w:rsid w:val="00270080"/>
    <w:rsid w:val="00277AC8"/>
    <w:rsid w:val="002C2A8A"/>
    <w:rsid w:val="002E4478"/>
    <w:rsid w:val="002F2F99"/>
    <w:rsid w:val="00313AE2"/>
    <w:rsid w:val="00344F2C"/>
    <w:rsid w:val="00352D13"/>
    <w:rsid w:val="00352D46"/>
    <w:rsid w:val="00362EA2"/>
    <w:rsid w:val="003A6F6D"/>
    <w:rsid w:val="003C1ACA"/>
    <w:rsid w:val="003C7A8D"/>
    <w:rsid w:val="003E7D1B"/>
    <w:rsid w:val="00432E4F"/>
    <w:rsid w:val="0046428E"/>
    <w:rsid w:val="00465026"/>
    <w:rsid w:val="00485242"/>
    <w:rsid w:val="00487EDE"/>
    <w:rsid w:val="00492DC3"/>
    <w:rsid w:val="00497219"/>
    <w:rsid w:val="004A0F24"/>
    <w:rsid w:val="004A104D"/>
    <w:rsid w:val="004B6EF8"/>
    <w:rsid w:val="00522657"/>
    <w:rsid w:val="00525592"/>
    <w:rsid w:val="005663E6"/>
    <w:rsid w:val="0057344C"/>
    <w:rsid w:val="00585F79"/>
    <w:rsid w:val="005E146A"/>
    <w:rsid w:val="005F180A"/>
    <w:rsid w:val="005F1877"/>
    <w:rsid w:val="006007C9"/>
    <w:rsid w:val="00601333"/>
    <w:rsid w:val="006343BE"/>
    <w:rsid w:val="006403D8"/>
    <w:rsid w:val="00644A13"/>
    <w:rsid w:val="00652418"/>
    <w:rsid w:val="00675547"/>
    <w:rsid w:val="00677FDC"/>
    <w:rsid w:val="006A3450"/>
    <w:rsid w:val="006A6896"/>
    <w:rsid w:val="006E231F"/>
    <w:rsid w:val="006F769D"/>
    <w:rsid w:val="00702B88"/>
    <w:rsid w:val="00707180"/>
    <w:rsid w:val="00732950"/>
    <w:rsid w:val="00745950"/>
    <w:rsid w:val="0076525A"/>
    <w:rsid w:val="00767B5D"/>
    <w:rsid w:val="00767F08"/>
    <w:rsid w:val="007931A5"/>
    <w:rsid w:val="007C12EC"/>
    <w:rsid w:val="007C2D6F"/>
    <w:rsid w:val="007C5541"/>
    <w:rsid w:val="007D377E"/>
    <w:rsid w:val="007E1CD1"/>
    <w:rsid w:val="007E7801"/>
    <w:rsid w:val="008409F7"/>
    <w:rsid w:val="00841915"/>
    <w:rsid w:val="00854C52"/>
    <w:rsid w:val="00872690"/>
    <w:rsid w:val="008B6BCB"/>
    <w:rsid w:val="008D7091"/>
    <w:rsid w:val="0093000F"/>
    <w:rsid w:val="00956005"/>
    <w:rsid w:val="0096074F"/>
    <w:rsid w:val="00966428"/>
    <w:rsid w:val="009671DE"/>
    <w:rsid w:val="00981184"/>
    <w:rsid w:val="00984027"/>
    <w:rsid w:val="00997140"/>
    <w:rsid w:val="009A023A"/>
    <w:rsid w:val="009B3F48"/>
    <w:rsid w:val="009F308B"/>
    <w:rsid w:val="00A03126"/>
    <w:rsid w:val="00A1648F"/>
    <w:rsid w:val="00A80B88"/>
    <w:rsid w:val="00AA09FB"/>
    <w:rsid w:val="00AB740B"/>
    <w:rsid w:val="00B21828"/>
    <w:rsid w:val="00B718D6"/>
    <w:rsid w:val="00BE74E0"/>
    <w:rsid w:val="00C3505D"/>
    <w:rsid w:val="00C601E8"/>
    <w:rsid w:val="00C6127A"/>
    <w:rsid w:val="00C7215F"/>
    <w:rsid w:val="00C82579"/>
    <w:rsid w:val="00C94688"/>
    <w:rsid w:val="00C9617D"/>
    <w:rsid w:val="00CD0701"/>
    <w:rsid w:val="00CD7E50"/>
    <w:rsid w:val="00CE6EC3"/>
    <w:rsid w:val="00CF624F"/>
    <w:rsid w:val="00D12E51"/>
    <w:rsid w:val="00D15909"/>
    <w:rsid w:val="00D17152"/>
    <w:rsid w:val="00D60174"/>
    <w:rsid w:val="00D954FF"/>
    <w:rsid w:val="00DB3413"/>
    <w:rsid w:val="00DC02DD"/>
    <w:rsid w:val="00DE0A87"/>
    <w:rsid w:val="00DF6DCF"/>
    <w:rsid w:val="00E0093A"/>
    <w:rsid w:val="00E02C10"/>
    <w:rsid w:val="00E031E0"/>
    <w:rsid w:val="00E35111"/>
    <w:rsid w:val="00E43DA8"/>
    <w:rsid w:val="00E52327"/>
    <w:rsid w:val="00E60E05"/>
    <w:rsid w:val="00E620B8"/>
    <w:rsid w:val="00E646FE"/>
    <w:rsid w:val="00E908ED"/>
    <w:rsid w:val="00E920E2"/>
    <w:rsid w:val="00EC3ACF"/>
    <w:rsid w:val="00EC3B78"/>
    <w:rsid w:val="00ED2279"/>
    <w:rsid w:val="00F17223"/>
    <w:rsid w:val="00F23F93"/>
    <w:rsid w:val="00F57F7F"/>
    <w:rsid w:val="00F66DE8"/>
    <w:rsid w:val="00F806A6"/>
    <w:rsid w:val="00FA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FC0B"/>
  <w15:chartTrackingRefBased/>
  <w15:docId w15:val="{E5065945-6297-4520-8018-9AD2BF89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B0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B34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E447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B0129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1B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57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45950"/>
    <w:pPr>
      <w:ind w:left="720"/>
      <w:contextualSpacing/>
    </w:pPr>
  </w:style>
  <w:style w:type="paragraph" w:styleId="Bezmezer">
    <w:name w:val="No Spacing"/>
    <w:uiPriority w:val="1"/>
    <w:qFormat/>
    <w:rsid w:val="006A3450"/>
    <w:pPr>
      <w:spacing w:after="0" w:line="240" w:lineRule="auto"/>
      <w:ind w:left="215" w:right="215"/>
      <w:jc w:val="both"/>
    </w:pPr>
    <w:rPr>
      <w:kern w:val="0"/>
      <w14:ligatures w14:val="none"/>
    </w:rPr>
  </w:style>
  <w:style w:type="paragraph" w:customStyle="1" w:styleId="xmsonormal">
    <w:name w:val="x_msonormal"/>
    <w:basedOn w:val="Normln"/>
    <w:rsid w:val="00702B88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DB341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Zdraznn">
    <w:name w:val="Emphasis"/>
    <w:basedOn w:val="Standardnpsmoodstavce"/>
    <w:uiPriority w:val="20"/>
    <w:qFormat/>
    <w:rsid w:val="00DB3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D54DB-93DA-4EF4-B2B8-B9DBE76B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Hrudová Lenka</dc:creator>
  <cp:keywords/>
  <dc:description/>
  <cp:lastModifiedBy>Hrudová Lenka</cp:lastModifiedBy>
  <cp:revision>2</cp:revision>
  <cp:lastPrinted>2023-08-04T06:58:00Z</cp:lastPrinted>
  <dcterms:created xsi:type="dcterms:W3CDTF">2025-09-09T06:59:00Z</dcterms:created>
  <dcterms:modified xsi:type="dcterms:W3CDTF">2025-09-09T06:59:00Z</dcterms:modified>
</cp:coreProperties>
</file>