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4F4DA" w14:textId="77777777" w:rsidR="00C373CC" w:rsidRPr="007C73EC" w:rsidRDefault="00C373CC" w:rsidP="00C008C8">
      <w:pPr>
        <w:pBdr>
          <w:bottom w:val="single" w:sz="6" w:space="1" w:color="auto"/>
        </w:pBdr>
        <w:spacing w:after="0"/>
        <w:jc w:val="both"/>
        <w:rPr>
          <w:rFonts w:ascii="Aptos" w:hAnsi="Aptos" w:cstheme="minorHAnsi"/>
          <w:b/>
          <w:bCs/>
        </w:rPr>
      </w:pPr>
      <w:r w:rsidRPr="007C73EC">
        <w:rPr>
          <w:rFonts w:ascii="Aptos" w:hAnsi="Aptos" w:cstheme="minorHAnsi"/>
          <w:b/>
          <w:bCs/>
        </w:rPr>
        <w:t>Důvodová zpráva</w:t>
      </w:r>
    </w:p>
    <w:p w14:paraId="05BED7FD" w14:textId="77777777" w:rsidR="007E19F3" w:rsidRPr="007C73EC" w:rsidRDefault="007E19F3" w:rsidP="007E19F3">
      <w:pPr>
        <w:pBdr>
          <w:bottom w:val="single" w:sz="6" w:space="1" w:color="auto"/>
        </w:pBdr>
        <w:spacing w:after="0" w:line="240" w:lineRule="auto"/>
        <w:jc w:val="both"/>
        <w:rPr>
          <w:rFonts w:ascii="Aptos" w:hAnsi="Aptos" w:cstheme="minorHAnsi"/>
        </w:rPr>
      </w:pPr>
      <w:r w:rsidRPr="007C73EC">
        <w:rPr>
          <w:rFonts w:ascii="Aptos" w:hAnsi="Aptos" w:cstheme="minorHAnsi"/>
        </w:rPr>
        <w:t>Úvodem:</w:t>
      </w:r>
    </w:p>
    <w:p w14:paraId="09002F0B" w14:textId="1DD63F49" w:rsidR="007E19F3" w:rsidRPr="006A2538" w:rsidRDefault="00965B90" w:rsidP="006A2538">
      <w:pPr>
        <w:pStyle w:val="Odstavecseseznamem"/>
        <w:numPr>
          <w:ilvl w:val="0"/>
          <w:numId w:val="23"/>
        </w:numPr>
        <w:pBdr>
          <w:bottom w:val="single" w:sz="6" w:space="1" w:color="auto"/>
        </w:pBdr>
        <w:spacing w:after="0" w:line="240" w:lineRule="auto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>Zastupitelstvu</w:t>
      </w:r>
      <w:r w:rsidR="00875A53" w:rsidRPr="007C73EC">
        <w:rPr>
          <w:rFonts w:ascii="Aptos" w:hAnsi="Aptos" w:cstheme="minorHAnsi"/>
        </w:rPr>
        <w:t xml:space="preserve"> města je předkládána změna Přílohy č. 4 Seznam strategických projektů Programového rámce IROP (dále jen PR), který je součástí </w:t>
      </w:r>
      <w:r w:rsidR="00875A53" w:rsidRPr="007C73EC">
        <w:rPr>
          <w:rFonts w:ascii="Aptos" w:hAnsi="Aptos" w:cstheme="minorHAnsi"/>
          <w:b/>
          <w:bCs/>
        </w:rPr>
        <w:t xml:space="preserve">Akčního plánu Integrované územní </w:t>
      </w:r>
      <w:r w:rsidR="009A6E55" w:rsidRPr="007C73EC">
        <w:rPr>
          <w:rFonts w:ascii="Aptos" w:hAnsi="Aptos" w:cstheme="minorHAnsi"/>
          <w:b/>
          <w:bCs/>
        </w:rPr>
        <w:t>s</w:t>
      </w:r>
      <w:r w:rsidR="00875A53" w:rsidRPr="007C73EC">
        <w:rPr>
          <w:rFonts w:ascii="Aptos" w:hAnsi="Aptos" w:cstheme="minorHAnsi"/>
          <w:b/>
          <w:bCs/>
        </w:rPr>
        <w:t>trategie Ostravské metropolitní oblasti 2021-2027</w:t>
      </w:r>
      <w:r w:rsidR="006A2538">
        <w:rPr>
          <w:rFonts w:ascii="Aptos" w:hAnsi="Aptos" w:cstheme="minorHAnsi"/>
          <w:b/>
          <w:bCs/>
        </w:rPr>
        <w:t xml:space="preserve"> (dále jen Akční plán)</w:t>
      </w:r>
      <w:r w:rsidR="00A223AF" w:rsidRPr="007C73EC">
        <w:rPr>
          <w:rFonts w:ascii="Aptos" w:hAnsi="Aptos" w:cstheme="minorHAnsi"/>
        </w:rPr>
        <w:t>.</w:t>
      </w:r>
    </w:p>
    <w:p w14:paraId="0662CCBA" w14:textId="1467E714" w:rsidR="008565F2" w:rsidRPr="007C73EC" w:rsidRDefault="006A2538" w:rsidP="00BB48BF">
      <w:pPr>
        <w:pStyle w:val="Odstavecseseznamem"/>
        <w:numPr>
          <w:ilvl w:val="0"/>
          <w:numId w:val="23"/>
        </w:numPr>
        <w:pBdr>
          <w:bottom w:val="single" w:sz="6" w:space="1" w:color="auto"/>
        </w:pBdr>
        <w:spacing w:after="0" w:line="240" w:lineRule="auto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>Integrovanou územní s</w:t>
      </w:r>
      <w:r w:rsidR="007E19F3" w:rsidRPr="007C73EC">
        <w:rPr>
          <w:rFonts w:ascii="Aptos" w:hAnsi="Aptos" w:cstheme="minorHAnsi"/>
        </w:rPr>
        <w:t>trategi</w:t>
      </w:r>
      <w:r w:rsidR="00E422CC" w:rsidRPr="007C73EC">
        <w:rPr>
          <w:rFonts w:ascii="Aptos" w:hAnsi="Aptos" w:cstheme="minorHAnsi"/>
        </w:rPr>
        <w:t>i</w:t>
      </w:r>
      <w:r w:rsidR="007E19F3" w:rsidRPr="007C73EC">
        <w:rPr>
          <w:rFonts w:ascii="Aptos" w:hAnsi="Aptos" w:cstheme="minorHAnsi"/>
        </w:rPr>
        <w:t xml:space="preserve"> </w:t>
      </w:r>
      <w:r>
        <w:rPr>
          <w:rFonts w:ascii="Aptos" w:hAnsi="Aptos" w:cstheme="minorHAnsi"/>
        </w:rPr>
        <w:t xml:space="preserve">Ostravské metropolitní oblasti (dále jen Strategie) </w:t>
      </w:r>
      <w:r w:rsidR="007E19F3" w:rsidRPr="007C73EC">
        <w:rPr>
          <w:rFonts w:ascii="Aptos" w:hAnsi="Aptos" w:cstheme="minorHAnsi"/>
        </w:rPr>
        <w:t>schv</w:t>
      </w:r>
      <w:r w:rsidR="0058458C" w:rsidRPr="007C73EC">
        <w:rPr>
          <w:rFonts w:ascii="Aptos" w:hAnsi="Aptos" w:cstheme="minorHAnsi"/>
        </w:rPr>
        <w:t>álilo</w:t>
      </w:r>
      <w:r w:rsidR="007E19F3" w:rsidRPr="007C73EC">
        <w:rPr>
          <w:rFonts w:ascii="Aptos" w:hAnsi="Aptos" w:cstheme="minorHAnsi"/>
        </w:rPr>
        <w:t xml:space="preserve"> </w:t>
      </w:r>
      <w:r>
        <w:rPr>
          <w:rFonts w:ascii="Aptos" w:hAnsi="Aptos" w:cstheme="minorHAnsi"/>
        </w:rPr>
        <w:t>Z</w:t>
      </w:r>
      <w:r w:rsidR="0058458C" w:rsidRPr="007C73EC">
        <w:rPr>
          <w:rFonts w:ascii="Aptos" w:hAnsi="Aptos" w:cstheme="minorHAnsi"/>
        </w:rPr>
        <w:t xml:space="preserve">astupitelstvo </w:t>
      </w:r>
      <w:r w:rsidR="007E19F3" w:rsidRPr="007C73EC">
        <w:rPr>
          <w:rFonts w:ascii="Aptos" w:hAnsi="Aptos" w:cstheme="minorHAnsi"/>
        </w:rPr>
        <w:t>statutární</w:t>
      </w:r>
      <w:r w:rsidR="0058458C" w:rsidRPr="007C73EC">
        <w:rPr>
          <w:rFonts w:ascii="Aptos" w:hAnsi="Aptos" w:cstheme="minorHAnsi"/>
        </w:rPr>
        <w:t>ho</w:t>
      </w:r>
      <w:r w:rsidR="007E19F3" w:rsidRPr="007C73EC">
        <w:rPr>
          <w:rFonts w:ascii="Aptos" w:hAnsi="Aptos" w:cstheme="minorHAnsi"/>
        </w:rPr>
        <w:t xml:space="preserve"> měst</w:t>
      </w:r>
      <w:r w:rsidR="0058458C" w:rsidRPr="007C73EC">
        <w:rPr>
          <w:rFonts w:ascii="Aptos" w:hAnsi="Aptos" w:cstheme="minorHAnsi"/>
        </w:rPr>
        <w:t>a</w:t>
      </w:r>
      <w:r w:rsidR="007E19F3" w:rsidRPr="007C73EC">
        <w:rPr>
          <w:rFonts w:ascii="Aptos" w:hAnsi="Aptos" w:cstheme="minorHAnsi"/>
        </w:rPr>
        <w:t xml:space="preserve"> Ostrav</w:t>
      </w:r>
      <w:r w:rsidR="0058458C" w:rsidRPr="007C73EC">
        <w:rPr>
          <w:rFonts w:ascii="Aptos" w:hAnsi="Aptos" w:cstheme="minorHAnsi"/>
        </w:rPr>
        <w:t>y</w:t>
      </w:r>
      <w:r w:rsidR="007E19F3" w:rsidRPr="007C73EC">
        <w:rPr>
          <w:rFonts w:ascii="Aptos" w:hAnsi="Aptos" w:cstheme="minorHAnsi"/>
        </w:rPr>
        <w:t xml:space="preserve"> jako </w:t>
      </w:r>
      <w:r w:rsidR="0058458C" w:rsidRPr="007C73EC">
        <w:rPr>
          <w:rFonts w:ascii="Aptos" w:hAnsi="Aptos" w:cstheme="minorHAnsi"/>
        </w:rPr>
        <w:t xml:space="preserve">její </w:t>
      </w:r>
      <w:r w:rsidR="007E19F3" w:rsidRPr="007C73EC">
        <w:rPr>
          <w:rFonts w:ascii="Aptos" w:hAnsi="Aptos" w:cstheme="minorHAnsi"/>
        </w:rPr>
        <w:t>nositel</w:t>
      </w:r>
      <w:r w:rsidR="0021313D" w:rsidRPr="007C73EC">
        <w:rPr>
          <w:rFonts w:ascii="Aptos" w:hAnsi="Aptos" w:cstheme="minorHAnsi"/>
        </w:rPr>
        <w:t xml:space="preserve"> dne 22. 6. 2022 usnesením č. 2070/ZM1822/35. </w:t>
      </w:r>
    </w:p>
    <w:p w14:paraId="61285766" w14:textId="71189B91" w:rsidR="008565F2" w:rsidRPr="007C73EC" w:rsidRDefault="0020584F" w:rsidP="0021313D">
      <w:pPr>
        <w:pStyle w:val="Odstavecseseznamem"/>
        <w:numPr>
          <w:ilvl w:val="0"/>
          <w:numId w:val="23"/>
        </w:numPr>
        <w:pBdr>
          <w:bottom w:val="single" w:sz="6" w:space="1" w:color="auto"/>
        </w:pBdr>
        <w:spacing w:after="0" w:line="240" w:lineRule="auto"/>
        <w:jc w:val="both"/>
        <w:rPr>
          <w:rFonts w:ascii="Aptos" w:hAnsi="Aptos" w:cstheme="minorHAnsi"/>
        </w:rPr>
      </w:pPr>
      <w:r w:rsidRPr="007C73EC">
        <w:rPr>
          <w:rFonts w:ascii="Aptos" w:hAnsi="Aptos" w:cstheme="minorHAnsi"/>
          <w:b/>
          <w:bCs/>
        </w:rPr>
        <w:t>Akční plán</w:t>
      </w:r>
      <w:r w:rsidRPr="007C73EC">
        <w:rPr>
          <w:rFonts w:ascii="Aptos" w:hAnsi="Aptos" w:cstheme="minorHAnsi"/>
        </w:rPr>
        <w:t xml:space="preserve"> je </w:t>
      </w:r>
      <w:r w:rsidR="007F7F2E" w:rsidRPr="007C73EC">
        <w:rPr>
          <w:rFonts w:ascii="Aptos" w:hAnsi="Aptos" w:cstheme="minorHAnsi"/>
        </w:rPr>
        <w:t xml:space="preserve">finančním plánem a </w:t>
      </w:r>
      <w:r w:rsidRPr="007C73EC">
        <w:rPr>
          <w:rFonts w:ascii="Aptos" w:hAnsi="Aptos" w:cstheme="minorHAnsi"/>
        </w:rPr>
        <w:t>kompletní</w:t>
      </w:r>
      <w:r w:rsidR="007F7F2E" w:rsidRPr="007C73EC">
        <w:rPr>
          <w:rFonts w:ascii="Aptos" w:hAnsi="Aptos" w:cstheme="minorHAnsi"/>
        </w:rPr>
        <w:t>m</w:t>
      </w:r>
      <w:r w:rsidRPr="007C73EC">
        <w:rPr>
          <w:rFonts w:ascii="Aptos" w:hAnsi="Aptos" w:cstheme="minorHAnsi"/>
        </w:rPr>
        <w:t xml:space="preserve"> seznam</w:t>
      </w:r>
      <w:r w:rsidR="007F7F2E" w:rsidRPr="007C73EC">
        <w:rPr>
          <w:rFonts w:ascii="Aptos" w:hAnsi="Aptos" w:cstheme="minorHAnsi"/>
        </w:rPr>
        <w:t>em</w:t>
      </w:r>
      <w:r w:rsidRPr="007C73EC">
        <w:rPr>
          <w:rFonts w:ascii="Aptos" w:hAnsi="Aptos" w:cstheme="minorHAnsi"/>
        </w:rPr>
        <w:t xml:space="preserve"> záměrů, které budou</w:t>
      </w:r>
      <w:r w:rsidR="00675A0D" w:rsidRPr="007C73EC">
        <w:rPr>
          <w:rFonts w:ascii="Aptos" w:hAnsi="Aptos" w:cstheme="minorHAnsi"/>
        </w:rPr>
        <w:t xml:space="preserve"> realizován</w:t>
      </w:r>
      <w:r w:rsidR="00647047" w:rsidRPr="007C73EC">
        <w:rPr>
          <w:rFonts w:ascii="Aptos" w:hAnsi="Aptos" w:cstheme="minorHAnsi"/>
        </w:rPr>
        <w:t xml:space="preserve">y </w:t>
      </w:r>
      <w:r w:rsidRPr="007C73EC">
        <w:rPr>
          <w:rFonts w:ascii="Aptos" w:hAnsi="Aptos" w:cstheme="minorHAnsi"/>
        </w:rPr>
        <w:t>v</w:t>
      </w:r>
      <w:r w:rsidR="007F7F2E" w:rsidRPr="007C73EC">
        <w:rPr>
          <w:rFonts w:ascii="Aptos" w:hAnsi="Aptos" w:cstheme="minorHAnsi"/>
        </w:rPr>
        <w:t> </w:t>
      </w:r>
      <w:r w:rsidRPr="007C73EC">
        <w:rPr>
          <w:rFonts w:ascii="Aptos" w:hAnsi="Aptos" w:cstheme="minorHAnsi"/>
        </w:rPr>
        <w:t>programovém období 2021–2027</w:t>
      </w:r>
      <w:r w:rsidR="007F7F2E" w:rsidRPr="007C73EC">
        <w:rPr>
          <w:rFonts w:ascii="Aptos" w:hAnsi="Aptos" w:cstheme="minorHAnsi"/>
        </w:rPr>
        <w:t xml:space="preserve"> na území Ostravské metropolitní oblasti.</w:t>
      </w:r>
    </w:p>
    <w:p w14:paraId="70082079" w14:textId="77777777" w:rsidR="0020584F" w:rsidRDefault="0020584F" w:rsidP="002058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ptos" w:hAnsi="Aptos" w:cstheme="minorHAnsi"/>
          <w:b/>
          <w:bCs/>
          <w:color w:val="000000"/>
          <w:sz w:val="22"/>
          <w:szCs w:val="22"/>
          <w:shd w:val="clear" w:color="auto" w:fill="FFFFFF"/>
        </w:rPr>
      </w:pPr>
    </w:p>
    <w:p w14:paraId="161094F0" w14:textId="77777777" w:rsidR="001C0AAA" w:rsidRDefault="006A2538" w:rsidP="006A253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</w:pPr>
      <w:r w:rsidRPr="007C73EC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V procesu realizace Akčního plánu Strategie je umožněno provádět změny v</w:t>
      </w: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 PR</w:t>
      </w:r>
      <w:r w:rsidRPr="007C73EC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. </w:t>
      </w:r>
      <w:r w:rsidR="00CD7436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Navrhovaná změna se týká</w:t>
      </w:r>
      <w:r w:rsidR="003C4C45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</w:t>
      </w:r>
      <w:r w:rsidR="001C0AAA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těchto</w:t>
      </w: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 opatření</w:t>
      </w:r>
      <w:r w:rsidR="001C0AAA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:</w:t>
      </w: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</w:t>
      </w:r>
    </w:p>
    <w:p w14:paraId="6DDE0FA1" w14:textId="2FABCD2E" w:rsidR="001C0AAA" w:rsidRPr="001C0AAA" w:rsidRDefault="00E76971" w:rsidP="001C0AAA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ptos" w:hAnsi="Aptos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o</w:t>
      </w:r>
      <w:r w:rsidR="001C0AAA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patření </w:t>
      </w:r>
      <w:r w:rsidR="006A2538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č. </w:t>
      </w:r>
      <w:r w:rsidR="00853CBD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5</w:t>
      </w:r>
      <w:r w:rsidR="006A2538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</w:t>
      </w:r>
      <w:r w:rsidR="00853CBD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Infrastruktura sociálních služeb, </w:t>
      </w:r>
    </w:p>
    <w:p w14:paraId="51C9BC93" w14:textId="6CEB17B4" w:rsidR="001C0AAA" w:rsidRPr="001C0AAA" w:rsidRDefault="001C0AAA" w:rsidP="001C0AAA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ptos" w:hAnsi="Aptos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opatření </w:t>
      </w:r>
      <w:r w:rsidR="00853CBD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č. </w:t>
      </w:r>
      <w:r w:rsidR="00853CBD" w:rsidRPr="00853CBD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7 Revitalizace, odborná infrastruktura a vybavení pro činnost knihoven</w:t>
      </w:r>
      <w:r w:rsidR="00853CBD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, </w:t>
      </w:r>
    </w:p>
    <w:p w14:paraId="60490769" w14:textId="11F944DC" w:rsidR="001C0AAA" w:rsidRPr="001C0AAA" w:rsidRDefault="001C0AAA" w:rsidP="001C0AAA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ptos" w:hAnsi="Aptos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opatření </w:t>
      </w:r>
      <w:r w:rsidR="00853CBD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č. </w:t>
      </w:r>
      <w:r w:rsidR="00853CBD" w:rsidRPr="00853CBD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9 Veřejná infrastruktura udržitelného cestovního ruchu</w:t>
      </w:r>
      <w:r w:rsidR="00CD7436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, </w:t>
      </w:r>
    </w:p>
    <w:p w14:paraId="71D4D6F4" w14:textId="140E6614" w:rsidR="001C0AAA" w:rsidRPr="001C0AAA" w:rsidRDefault="001C0AAA" w:rsidP="001C0AAA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ptos" w:hAnsi="Aptos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opatření </w:t>
      </w:r>
      <w:r w:rsidR="00CD7436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č.10 </w:t>
      </w:r>
      <w:r w:rsidR="00D20F93" w:rsidRPr="00D20F93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Nízkoemisní a bezemisní vozidla pro veřejnou dopravu</w:t>
      </w:r>
      <w:r w:rsidR="0061170A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a </w:t>
      </w:r>
    </w:p>
    <w:p w14:paraId="7A51B95E" w14:textId="22D37820" w:rsidR="00E76971" w:rsidRPr="00E76971" w:rsidRDefault="001C0AAA" w:rsidP="001C0AAA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ptos" w:hAnsi="Aptos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opatření </w:t>
      </w:r>
      <w:r w:rsidR="0061170A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č.</w:t>
      </w:r>
      <w:r w:rsidRPr="001C0AAA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13 Telematika pro veřejnou dopravu</w:t>
      </w:r>
      <w:r w:rsidR="00E76971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.</w:t>
      </w:r>
      <w:r w:rsidR="00853CBD" w:rsidRPr="00853CBD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</w:t>
      </w:r>
      <w:r w:rsidR="00853CBD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</w:t>
      </w:r>
      <w:r w:rsidR="006A2538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</w:t>
      </w:r>
    </w:p>
    <w:p w14:paraId="56F21A2A" w14:textId="77777777" w:rsidR="00E76971" w:rsidRDefault="00E76971" w:rsidP="00E769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</w:pPr>
    </w:p>
    <w:p w14:paraId="42955965" w14:textId="77777777" w:rsidR="007D1FBF" w:rsidRDefault="003F50B7" w:rsidP="00EB4479">
      <w:pPr>
        <w:pStyle w:val="paragraph"/>
        <w:spacing w:before="0" w:beforeAutospacing="0" w:after="240" w:afterAutospacing="0" w:line="276" w:lineRule="auto"/>
        <w:jc w:val="both"/>
        <w:textAlignment w:val="baseline"/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</w:pPr>
      <w:r w:rsidRPr="00E63FE3">
        <w:rPr>
          <w:rStyle w:val="normaltextrun"/>
          <w:rFonts w:ascii="Aptos" w:hAnsi="Aptos" w:cstheme="minorHAnsi"/>
          <w:b/>
          <w:bCs/>
          <w:sz w:val="22"/>
          <w:szCs w:val="22"/>
          <w:shd w:val="clear" w:color="auto" w:fill="FFFFFF"/>
        </w:rPr>
        <w:t>Ad 1.</w:t>
      </w: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V rámci opatření zaměřené na sociální služby </w:t>
      </w:r>
      <w:r w:rsidR="006A2538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byly administrovány v systému ISKP21+ </w:t>
      </w:r>
      <w:r w:rsidR="007D1FBF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téměř všechny</w:t>
      </w:r>
      <w:r w:rsidR="006A2538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projekty, které v současnosti jsou součástí PR</w:t>
      </w:r>
      <w:r w:rsidR="007D1FBF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. N</w:t>
      </w:r>
      <w:r w:rsidR="006A2538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ěkteré projekty jsou již finančně ukončeny.</w:t>
      </w:r>
      <w:r w:rsidR="00C13AAD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U dokončených projektů došlo k finančním úsporám.</w:t>
      </w: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Jeden projekt společnosti MEDICA Třinec byl žadatelem stažen. </w:t>
      </w:r>
      <w:r w:rsidR="006A2538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Řídicí výbor Strategie Ostravské metropolitní oblasti (dále ŘV) souhlasil s vyhlášením výzvy nositele ITI č. 3</w:t>
      </w: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4</w:t>
      </w:r>
      <w:r w:rsidR="006A2538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Infrastruktura sociálních služeb</w:t>
      </w:r>
      <w:r w:rsidR="006A2538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II. </w:t>
      </w:r>
      <w:r w:rsidR="002A7C9F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Poradní skupina Zdravější a soudržnější region doporučil ŘV a ten souhlasil se zařazením jednoho </w:t>
      </w:r>
      <w:r w:rsidR="007D1FBF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strategického </w:t>
      </w:r>
      <w:r w:rsidR="002A7C9F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projektu předkladatele Armáda Spásy Havířov do seznamu strategických projektů PR IROP.</w:t>
      </w:r>
      <w:r w:rsidR="00C13AAD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</w:t>
      </w:r>
    </w:p>
    <w:p w14:paraId="23E4EEEE" w14:textId="047036A8" w:rsidR="00AF039F" w:rsidRPr="00AF039F" w:rsidRDefault="00AF039F" w:rsidP="00EB4479">
      <w:pPr>
        <w:pStyle w:val="paragraph"/>
        <w:numPr>
          <w:ilvl w:val="0"/>
          <w:numId w:val="34"/>
        </w:numPr>
        <w:spacing w:before="0" w:beforeAutospacing="0" w:after="240" w:afterAutospacing="0" w:line="276" w:lineRule="auto"/>
        <w:jc w:val="both"/>
        <w:textAlignment w:val="baseline"/>
        <w:rPr>
          <w:rStyle w:val="normaltextrun"/>
          <w:rFonts w:ascii="Aptos" w:hAnsi="Aptos" w:cstheme="minorHAnsi"/>
          <w:i/>
          <w:iCs/>
          <w:sz w:val="22"/>
          <w:szCs w:val="22"/>
          <w:shd w:val="clear" w:color="auto" w:fill="FFFFFF"/>
        </w:rPr>
      </w:pPr>
      <w:r w:rsidRPr="00AF039F">
        <w:rPr>
          <w:rStyle w:val="normaltextrun"/>
          <w:rFonts w:ascii="Aptos" w:hAnsi="Aptos" w:cstheme="minorHAnsi"/>
          <w:i/>
          <w:iCs/>
          <w:sz w:val="22"/>
          <w:szCs w:val="22"/>
          <w:shd w:val="clear" w:color="auto" w:fill="FFFFFF"/>
        </w:rPr>
        <w:t>Armáda spásy Havířov - Rekonstrukce azylového domu pro muže a noclehárny, ITIOMO/3.8.1/034/IROP/08/0293; předkladatel: Armáda spásy v České republice, z. s.</w:t>
      </w:r>
    </w:p>
    <w:p w14:paraId="1CFA662F" w14:textId="57815BEA" w:rsidR="002A7C9F" w:rsidRDefault="00C13AAD" w:rsidP="00E769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Do nástroje ITI Strategie byl alokován do opatření č. 5 Infrastruktura sociálních služeb příspěvek EU v celkové výši 293 825 841,29 Kč. Návrh PR po změně bude obsahovat 12 strategických projektů. </w:t>
      </w:r>
      <w:r w:rsidR="004C4330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Z toho 3 projekty již byly finančně ukončeny s proplaceným financováním EU </w:t>
      </w:r>
      <w:r w:rsidR="00850EB2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ve výši téměř 38 mil. Kč</w:t>
      </w:r>
      <w:r w:rsidR="004C4330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, 5 projektů</w:t>
      </w:r>
      <w:r w:rsidR="00850EB2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za 114,5 mil. Kč</w:t>
      </w:r>
      <w:r w:rsidR="004C4330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je v realizaci a 1 projekt</w:t>
      </w:r>
      <w:r w:rsidR="001A2ED0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s požadovanou výši příspěvku EU 20 mil. Kč</w:t>
      </w:r>
      <w:r w:rsidR="004C4330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je doporučen k financování. Dva projekty</w:t>
      </w:r>
      <w:r w:rsidR="001A2ED0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ve výši</w:t>
      </w:r>
      <w:r w:rsidR="004C4330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jsou připravovány pro předložení žádosti</w:t>
      </w:r>
      <w:r w:rsidR="001A2ED0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v objemu 91 mil. Kč</w:t>
      </w:r>
      <w:r w:rsidR="004C4330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. </w:t>
      </w:r>
      <w:r w:rsidR="003C38EF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Tabulka PR opatření č. 5 v čisté i změnové verzi je přílohou č. 1 a 2 předloženého materiálu.</w:t>
      </w:r>
    </w:p>
    <w:p w14:paraId="1A021106" w14:textId="77777777" w:rsidR="002A7C9F" w:rsidRDefault="002A7C9F" w:rsidP="00E769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</w:pPr>
    </w:p>
    <w:p w14:paraId="5C9CDBF3" w14:textId="77777777" w:rsidR="00AF039F" w:rsidRDefault="007D1FBF" w:rsidP="00EB4479">
      <w:pPr>
        <w:pStyle w:val="paragraph"/>
        <w:spacing w:before="0" w:beforeAutospacing="0" w:after="240" w:afterAutospacing="0" w:line="276" w:lineRule="auto"/>
        <w:jc w:val="both"/>
        <w:textAlignment w:val="baseline"/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</w:pPr>
      <w:r w:rsidRPr="00E63FE3">
        <w:rPr>
          <w:rStyle w:val="normaltextrun"/>
          <w:rFonts w:ascii="Aptos" w:hAnsi="Aptos" w:cstheme="minorHAnsi"/>
          <w:b/>
          <w:bCs/>
          <w:sz w:val="22"/>
          <w:szCs w:val="22"/>
          <w:shd w:val="clear" w:color="auto" w:fill="FFFFFF"/>
        </w:rPr>
        <w:t>Ad 2.</w:t>
      </w:r>
      <w:r w:rsidR="003C38EF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V opatření č. 7 zaměřené na revitalizaci knihoven je alokováno </w:t>
      </w:r>
      <w:r w:rsidR="003C38EF" w:rsidRPr="003C38EF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119</w:t>
      </w:r>
      <w:r w:rsidR="003C38EF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 </w:t>
      </w:r>
      <w:r w:rsidR="003C38EF" w:rsidRPr="003C38EF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463</w:t>
      </w:r>
      <w:r w:rsidR="003C38EF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</w:t>
      </w:r>
      <w:r w:rsidR="003C38EF" w:rsidRPr="003C38EF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684,9</w:t>
      </w:r>
      <w:r w:rsidR="003C38EF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financí EU. V PR bylo evidováno 5 strategických projektů, z toho 2 projekty jsou finančně ukončeny, 2 jsou v realizaci a jeden projekt bude do ISKP21+ předložen v září. Na projektech vznikla úspora ve výši 9 mil. Kč, proto byla vyhlášena výzva nositele č. 35 Knihovny II. ŘV výbor schválil a navrhl doplnění PR o dva projekty, které předložilo statutární město Opava. </w:t>
      </w:r>
    </w:p>
    <w:p w14:paraId="36E2EC31" w14:textId="7E82A431" w:rsidR="00AF039F" w:rsidRPr="00EB4479" w:rsidRDefault="00AF039F" w:rsidP="00AF039F">
      <w:pPr>
        <w:pStyle w:val="paragraph"/>
        <w:numPr>
          <w:ilvl w:val="0"/>
          <w:numId w:val="34"/>
        </w:numPr>
        <w:spacing w:before="0" w:beforeAutospacing="0" w:after="0" w:line="276" w:lineRule="auto"/>
        <w:jc w:val="both"/>
        <w:textAlignment w:val="baseline"/>
        <w:rPr>
          <w:rStyle w:val="normaltextrun"/>
          <w:rFonts w:ascii="Aptos" w:hAnsi="Aptos" w:cstheme="minorHAnsi"/>
          <w:i/>
          <w:iCs/>
          <w:sz w:val="22"/>
          <w:szCs w:val="22"/>
          <w:shd w:val="clear" w:color="auto" w:fill="FFFFFF"/>
        </w:rPr>
      </w:pPr>
      <w:r w:rsidRPr="00EB4479">
        <w:rPr>
          <w:rStyle w:val="normaltextrun"/>
          <w:rFonts w:ascii="Aptos" w:hAnsi="Aptos" w:cstheme="minorHAnsi"/>
          <w:i/>
          <w:iCs/>
          <w:sz w:val="22"/>
          <w:szCs w:val="22"/>
          <w:shd w:val="clear" w:color="auto" w:fill="FFFFFF"/>
        </w:rPr>
        <w:t>Rekonstrukce Knihovny Petra Bezruče v Opavě – pobočka Kateřinky, ITIOMO/3.7.1/035/IROP/03/0299; předkladatel: statutární město Opava</w:t>
      </w:r>
    </w:p>
    <w:p w14:paraId="19D177FE" w14:textId="41705F69" w:rsidR="00AF039F" w:rsidRPr="00EB4479" w:rsidRDefault="00EB4479" w:rsidP="00AF039F">
      <w:pPr>
        <w:pStyle w:val="paragraph"/>
        <w:numPr>
          <w:ilvl w:val="0"/>
          <w:numId w:val="34"/>
        </w:numPr>
        <w:spacing w:before="0" w:beforeAutospacing="0" w:after="0" w:line="276" w:lineRule="auto"/>
        <w:jc w:val="both"/>
        <w:textAlignment w:val="baseline"/>
        <w:rPr>
          <w:rStyle w:val="normaltextrun"/>
          <w:rFonts w:ascii="Aptos" w:hAnsi="Aptos" w:cstheme="minorHAnsi"/>
          <w:i/>
          <w:iCs/>
          <w:sz w:val="22"/>
          <w:szCs w:val="22"/>
          <w:shd w:val="clear" w:color="auto" w:fill="FFFFFF"/>
        </w:rPr>
      </w:pPr>
      <w:r w:rsidRPr="00EB4479">
        <w:rPr>
          <w:rStyle w:val="normaltextrun"/>
          <w:rFonts w:ascii="Aptos" w:hAnsi="Aptos" w:cstheme="minorHAnsi"/>
          <w:i/>
          <w:iCs/>
          <w:sz w:val="22"/>
          <w:szCs w:val="22"/>
          <w:shd w:val="clear" w:color="auto" w:fill="FFFFFF"/>
        </w:rPr>
        <w:t>Rekonstrukce Knihovny Petra Bezruče v Opavě – pobočka Olomoucká, ITIOMO/3.7.1/035/IROP/03/0300; předkladatel: statutární město Opava</w:t>
      </w:r>
    </w:p>
    <w:p w14:paraId="0DF7889F" w14:textId="08AED9B7" w:rsidR="006A2538" w:rsidRDefault="003C38EF" w:rsidP="006A2538">
      <w:pPr>
        <w:pStyle w:val="paragraph"/>
        <w:spacing w:before="0" w:beforeAutospacing="0" w:after="0" w:line="276" w:lineRule="auto"/>
        <w:jc w:val="both"/>
        <w:textAlignment w:val="baseline"/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Dle povoleného postupu bude v PR alokace opatření č. 7 překročena a naplněna na 106</w:t>
      </w:r>
      <w:r w:rsidR="0073317B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%. Vzhledem k tomu, že se jedná o jednoho předkladatele, vyjádření ŘV SOMO o souladu strategického projektu se strategií bude </w:t>
      </w:r>
      <w:r w:rsidR="0073317B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následně, až budou projekty připraveny k podání do ISKP21+, </w:t>
      </w: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vydán</w:t>
      </w:r>
      <w:r w:rsidR="0073317B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a</w:t>
      </w: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do 100% </w:t>
      </w: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lastRenderedPageBreak/>
        <w:t>disponibilní alokace EU.</w:t>
      </w:r>
      <w:r w:rsidR="0073317B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Předkladatel o postupu byl informován. Tabulka PR opatření č. </w:t>
      </w:r>
      <w:r w:rsidR="00AF039F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7</w:t>
      </w:r>
      <w:r w:rsidR="0073317B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v čisté i změnové verzi je přílohou č. 3 a 4 předloženého materiálu.</w:t>
      </w:r>
    </w:p>
    <w:p w14:paraId="1CA81135" w14:textId="480D860A" w:rsidR="00EB4479" w:rsidRDefault="0073317B" w:rsidP="00EB4479">
      <w:pPr>
        <w:pStyle w:val="paragraph"/>
        <w:spacing w:before="0" w:beforeAutospacing="0" w:after="240" w:afterAutospacing="0" w:line="276" w:lineRule="auto"/>
        <w:jc w:val="both"/>
        <w:textAlignment w:val="baseline"/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</w:pPr>
      <w:r w:rsidRPr="00E63FE3">
        <w:rPr>
          <w:rStyle w:val="normaltextrun"/>
          <w:rFonts w:ascii="Aptos" w:hAnsi="Aptos" w:cstheme="minorHAnsi"/>
          <w:b/>
          <w:bCs/>
          <w:sz w:val="22"/>
          <w:szCs w:val="22"/>
          <w:shd w:val="clear" w:color="auto" w:fill="FFFFFF"/>
        </w:rPr>
        <w:t>Ad 3.</w:t>
      </w: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V opatření č. 9 na podporu cestovního ruchu (revitalizace nebo vybudování turistických informačních center na Technotrase</w:t>
      </w:r>
      <w:r w:rsidR="00AF039F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v ostravské metropolitní oblasti) bylo evidováno 13 strategických projektů za celkovou alokac</w:t>
      </w:r>
      <w:r w:rsidR="00CC05C8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i</w:t>
      </w: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příspěvku EU </w:t>
      </w:r>
      <w:r w:rsidRPr="0073317B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89</w:t>
      </w: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 </w:t>
      </w:r>
      <w:r w:rsidRPr="0073317B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597</w:t>
      </w: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</w:t>
      </w:r>
      <w:r w:rsidRPr="0073317B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763,68</w:t>
      </w: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Kč. Tři projekty následně odstoupily. 1 projekt je finančně ukončen, 4 projekty jsou v realizaci za požadované finance EU ve výši 30 mil. Kč. Na projektech vznikla úspora, a proto byla vyhlášena výzva nositele č. </w:t>
      </w:r>
      <w:r w:rsidR="00AF039F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36 Infrastruktura cestovního ruchu III. Do výzvy se přihlásil 1 projekt, který ŘV schválil do PR. Jedná se o TIC Svinov. </w:t>
      </w:r>
    </w:p>
    <w:p w14:paraId="4193853A" w14:textId="519C3696" w:rsidR="00EB4479" w:rsidRPr="00EB4479" w:rsidRDefault="00EB4479" w:rsidP="00EB4479">
      <w:pPr>
        <w:pStyle w:val="paragraph"/>
        <w:numPr>
          <w:ilvl w:val="0"/>
          <w:numId w:val="35"/>
        </w:numPr>
        <w:spacing w:before="0" w:beforeAutospacing="0" w:after="0" w:line="276" w:lineRule="auto"/>
        <w:jc w:val="both"/>
        <w:textAlignment w:val="baseline"/>
        <w:rPr>
          <w:rStyle w:val="normaltextrun"/>
          <w:rFonts w:ascii="Aptos" w:hAnsi="Aptos" w:cstheme="minorHAnsi"/>
          <w:i/>
          <w:iCs/>
          <w:sz w:val="22"/>
          <w:szCs w:val="22"/>
          <w:shd w:val="clear" w:color="auto" w:fill="FFFFFF"/>
        </w:rPr>
      </w:pPr>
      <w:r w:rsidRPr="00EB4479">
        <w:rPr>
          <w:rStyle w:val="normaltextrun"/>
          <w:rFonts w:ascii="Aptos" w:hAnsi="Aptos" w:cstheme="minorHAnsi"/>
          <w:i/>
          <w:iCs/>
          <w:sz w:val="22"/>
          <w:szCs w:val="22"/>
          <w:shd w:val="clear" w:color="auto" w:fill="FFFFFF"/>
        </w:rPr>
        <w:t>Turistické Informační Centrum Svinov, ITIOMO/3.7.1/036/IROP/07/0287; předkladatel: Černá louka s.r.o.</w:t>
      </w:r>
    </w:p>
    <w:p w14:paraId="220B896F" w14:textId="61A2CC81" w:rsidR="00AF039F" w:rsidRDefault="00AF039F" w:rsidP="00EB4479">
      <w:pPr>
        <w:pStyle w:val="paragraph"/>
        <w:spacing w:before="0" w:beforeAutospacing="0" w:after="0" w:line="276" w:lineRule="auto"/>
        <w:jc w:val="both"/>
        <w:textAlignment w:val="baseline"/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Po rozšíření seznamu strategických projektů o uvedený projekt nebude naplněna 100% výše alokace. O zůstatku 6,9 mil. Kč se bude nadále jednat s řídicím orgánem IROP</w:t>
      </w:r>
      <w:r w:rsidR="00EB4479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, zdali nebude možný přesun do jiného opatření</w:t>
      </w: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. Tabulka PR opatření č. 9 v čisté i změnové verzi je přílohou č. 5 a 6 předloženého materiálu.</w:t>
      </w:r>
    </w:p>
    <w:p w14:paraId="4F50710E" w14:textId="74CE02AE" w:rsidR="00EB4479" w:rsidRDefault="00EB4479" w:rsidP="00EB4479">
      <w:pPr>
        <w:pStyle w:val="paragraph"/>
        <w:spacing w:before="0" w:beforeAutospacing="0" w:after="0" w:line="276" w:lineRule="auto"/>
        <w:jc w:val="both"/>
        <w:textAlignment w:val="baseline"/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</w:pPr>
      <w:r w:rsidRPr="00E63FE3">
        <w:rPr>
          <w:rStyle w:val="normaltextrun"/>
          <w:rFonts w:ascii="Aptos" w:hAnsi="Aptos" w:cstheme="minorHAnsi"/>
          <w:b/>
          <w:bCs/>
          <w:sz w:val="22"/>
          <w:szCs w:val="22"/>
          <w:shd w:val="clear" w:color="auto" w:fill="FFFFFF"/>
        </w:rPr>
        <w:t>Ad 4.</w:t>
      </w: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 Celková alokace opatření PR č. 10 </w:t>
      </w:r>
      <w:r w:rsidRPr="00D20F93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Nízkoemisní a bezemisní vozidla pro veřejnou dopravu</w:t>
      </w:r>
      <w:r w:rsidR="00B10E5D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br/>
        <w:t xml:space="preserve">je </w:t>
      </w:r>
      <w:r w:rsidR="00B10E5D" w:rsidRPr="00B10E5D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585</w:t>
      </w:r>
      <w:r w:rsidR="00B10E5D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 </w:t>
      </w:r>
      <w:r w:rsidR="00B10E5D" w:rsidRPr="00B10E5D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255</w:t>
      </w:r>
      <w:r w:rsidR="00B10E5D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</w:t>
      </w:r>
      <w:r w:rsidR="00B10E5D" w:rsidRPr="00B10E5D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589,27</w:t>
      </w:r>
      <w:r w:rsidR="00B10E5D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Kč. Z důvodu odstoupení strategického projektu Pořízení vodíkových vozidel pro zajišťování dopravní obslužnosti Moravskoslezského kraje – oblast Jablunkovsko a Třinecko a požadavku na snížení počtu vodíkových autobusů projektu </w:t>
      </w:r>
      <w:r w:rsidR="00B10E5D" w:rsidRPr="00B10E5D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Pořízení vozíkových vozidel pro zajištění dopravní obslužnosti Moravskoslezského kraje - oblast havířovsko III</w:t>
      </w:r>
      <w:r w:rsidR="00B10E5D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byla vyhlášena výzva nositele č. 37 Bezemisní vozidla VHD III. Do výzvy byly předloženy dva strategické projekty, které ŘV schválil doplnit do PR:</w:t>
      </w:r>
    </w:p>
    <w:p w14:paraId="7452FAEF" w14:textId="2E742BCD" w:rsidR="00B10E5D" w:rsidRDefault="00B10E5D" w:rsidP="00B10E5D">
      <w:pPr>
        <w:pStyle w:val="paragraph"/>
        <w:numPr>
          <w:ilvl w:val="0"/>
          <w:numId w:val="35"/>
        </w:numPr>
        <w:spacing w:before="0" w:beforeAutospacing="0" w:after="0" w:line="276" w:lineRule="auto"/>
        <w:jc w:val="both"/>
        <w:textAlignment w:val="baseline"/>
        <w:rPr>
          <w:rStyle w:val="normaltextrun"/>
          <w:rFonts w:ascii="Aptos" w:hAnsi="Aptos" w:cstheme="minorHAnsi"/>
          <w:i/>
          <w:iCs/>
          <w:sz w:val="22"/>
          <w:szCs w:val="22"/>
          <w:shd w:val="clear" w:color="auto" w:fill="FFFFFF"/>
        </w:rPr>
      </w:pPr>
      <w:r w:rsidRPr="00B10E5D">
        <w:rPr>
          <w:rStyle w:val="normaltextrun"/>
          <w:rFonts w:ascii="Aptos" w:hAnsi="Aptos" w:cstheme="minorHAnsi"/>
          <w:i/>
          <w:iCs/>
          <w:sz w:val="22"/>
          <w:szCs w:val="22"/>
          <w:shd w:val="clear" w:color="auto" w:fill="FFFFFF"/>
        </w:rPr>
        <w:t>Navazující projekt částečné elektrifikace MHD Frýdek-Místek a MHD Karviná, ITIOMO/3.1.1/037/IROP/04/0289; předkladatel: Transdev Slezsko a.s.</w:t>
      </w:r>
    </w:p>
    <w:p w14:paraId="735C9029" w14:textId="4EAE35C5" w:rsidR="00B10E5D" w:rsidRPr="00B10E5D" w:rsidRDefault="00B10E5D" w:rsidP="00B10E5D">
      <w:pPr>
        <w:pStyle w:val="paragraph"/>
        <w:numPr>
          <w:ilvl w:val="0"/>
          <w:numId w:val="35"/>
        </w:numPr>
        <w:spacing w:before="0" w:beforeAutospacing="0" w:after="0" w:line="276" w:lineRule="auto"/>
        <w:jc w:val="both"/>
        <w:textAlignment w:val="baseline"/>
        <w:rPr>
          <w:rStyle w:val="normaltextrun"/>
          <w:rFonts w:ascii="Aptos" w:hAnsi="Aptos" w:cstheme="minorHAnsi"/>
          <w:i/>
          <w:iCs/>
          <w:sz w:val="22"/>
          <w:szCs w:val="22"/>
          <w:shd w:val="clear" w:color="auto" w:fill="FFFFFF"/>
        </w:rPr>
      </w:pPr>
      <w:r w:rsidRPr="00B10E5D">
        <w:rPr>
          <w:rStyle w:val="normaltextrun"/>
          <w:rFonts w:ascii="Aptos" w:hAnsi="Aptos" w:cstheme="minorHAnsi"/>
          <w:i/>
          <w:iCs/>
          <w:sz w:val="22"/>
          <w:szCs w:val="22"/>
          <w:shd w:val="clear" w:color="auto" w:fill="FFFFFF"/>
        </w:rPr>
        <w:t>ITI II.- Obnova vozového parku DPO trolejbusy a elektrobusy</w:t>
      </w:r>
      <w:r>
        <w:rPr>
          <w:rStyle w:val="normaltextrun"/>
          <w:rFonts w:ascii="Aptos" w:hAnsi="Aptos" w:cstheme="minorHAnsi"/>
          <w:i/>
          <w:iCs/>
          <w:sz w:val="22"/>
          <w:szCs w:val="22"/>
          <w:shd w:val="clear" w:color="auto" w:fill="FFFFFF"/>
        </w:rPr>
        <w:t xml:space="preserve">, </w:t>
      </w:r>
      <w:r w:rsidRPr="00B10E5D">
        <w:rPr>
          <w:rStyle w:val="normaltextrun"/>
          <w:rFonts w:ascii="Aptos" w:hAnsi="Aptos" w:cstheme="minorHAnsi"/>
          <w:i/>
          <w:iCs/>
          <w:sz w:val="22"/>
          <w:szCs w:val="22"/>
          <w:shd w:val="clear" w:color="auto" w:fill="FFFFFF"/>
        </w:rPr>
        <w:t>ITIOMO/3.1.1/037/IROP/04/0290</w:t>
      </w:r>
      <w:r>
        <w:rPr>
          <w:rStyle w:val="normaltextrun"/>
          <w:rFonts w:ascii="Aptos" w:hAnsi="Aptos" w:cstheme="minorHAnsi"/>
          <w:i/>
          <w:iCs/>
          <w:sz w:val="22"/>
          <w:szCs w:val="22"/>
          <w:shd w:val="clear" w:color="auto" w:fill="FFFFFF"/>
        </w:rPr>
        <w:t>; předkladatel: Dopravní podnik Ostrava a.s.</w:t>
      </w:r>
    </w:p>
    <w:p w14:paraId="4A27FC77" w14:textId="4EEF396B" w:rsidR="00E63FE3" w:rsidRDefault="00B10E5D" w:rsidP="006A2538">
      <w:pPr>
        <w:pStyle w:val="paragraph"/>
        <w:spacing w:before="0" w:beforeAutospacing="0" w:after="0" w:line="276" w:lineRule="auto"/>
        <w:jc w:val="both"/>
        <w:textAlignment w:val="baseline"/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V současnosti j</w:t>
      </w:r>
      <w:r w:rsidR="00916873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e</w:t>
      </w: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</w:t>
      </w:r>
      <w:r w:rsidR="00487B29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1</w:t>
      </w: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projekt</w:t>
      </w:r>
      <w:r w:rsidR="00487B29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ve výši příspěvku EU 160 mil. Kč již finančně ukončen, 1 projekt je v realizaci. Doplněním dvou strategických projektů do PR bude naplněna alokace EU na 100 %.</w:t>
      </w:r>
      <w:r w:rsidR="00E63FE3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Tabulka PR opatření č. 10 v čisté i změnové verzi je přílohou č. 7 a 8 předloženého materiálu.</w:t>
      </w:r>
    </w:p>
    <w:p w14:paraId="7660CC35" w14:textId="7FD105C4" w:rsidR="00487B29" w:rsidRDefault="00487B29" w:rsidP="006A2538">
      <w:pPr>
        <w:pStyle w:val="paragraph"/>
        <w:spacing w:before="0" w:beforeAutospacing="0" w:after="0" w:line="276" w:lineRule="auto"/>
        <w:jc w:val="both"/>
        <w:textAlignment w:val="baseline"/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</w:pPr>
      <w:r w:rsidRPr="00E63FE3">
        <w:rPr>
          <w:rStyle w:val="normaltextrun"/>
          <w:rFonts w:ascii="Aptos" w:hAnsi="Aptos" w:cstheme="minorHAnsi"/>
          <w:b/>
          <w:bCs/>
          <w:sz w:val="22"/>
          <w:szCs w:val="22"/>
          <w:shd w:val="clear" w:color="auto" w:fill="FFFFFF"/>
        </w:rPr>
        <w:t>Ad. 5</w:t>
      </w: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V opatření č. 13 zaměřené na telematická opatření pro veřejnou dopravu</w:t>
      </w:r>
      <w:r w:rsidR="00E7251C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jsou v PR 4 strategické projekty</w:t>
      </w:r>
      <w:r w:rsidR="0098179E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.</w:t>
      </w:r>
      <w:r w:rsidR="00E7251C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</w:t>
      </w:r>
      <w:r w:rsidR="0098179E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N</w:t>
      </w:r>
      <w:r w:rsidR="00E7251C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a 2 projektech došlo</w:t>
      </w:r>
      <w:r w:rsidR="00E63FE3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k úsporám alokace, která byla řídicím orgánem IROP stanovena na </w:t>
      </w:r>
      <w:r w:rsidR="00E63FE3" w:rsidRPr="00E63FE3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151</w:t>
      </w:r>
      <w:r w:rsidR="00E63FE3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 </w:t>
      </w:r>
      <w:r w:rsidR="00E63FE3" w:rsidRPr="00E63FE3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351</w:t>
      </w:r>
      <w:r w:rsidR="00E63FE3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</w:t>
      </w:r>
      <w:r w:rsidR="00E63FE3" w:rsidRPr="00E63FE3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198,98</w:t>
      </w:r>
      <w:r w:rsidR="00E7251C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</w:t>
      </w:r>
      <w:r w:rsidR="00E63FE3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Kč. ŘV schválil vyhlášení výzvy nositele č. 39 Telematika VHD II, do které byly předloženy dva strategické projekty (záměry). ŘV schválil zařazení předložených záměrů do programového rámce:</w:t>
      </w:r>
    </w:p>
    <w:p w14:paraId="5DE84681" w14:textId="574149E0" w:rsidR="00E63FE3" w:rsidRDefault="00E63FE3" w:rsidP="00E63FE3">
      <w:pPr>
        <w:pStyle w:val="paragraph"/>
        <w:numPr>
          <w:ilvl w:val="0"/>
          <w:numId w:val="36"/>
        </w:numPr>
        <w:spacing w:before="0" w:beforeAutospacing="0" w:after="0" w:line="276" w:lineRule="auto"/>
        <w:jc w:val="both"/>
        <w:textAlignment w:val="baseline"/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</w:pPr>
      <w:r w:rsidRPr="00E63FE3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Navazující projekt vybudování chytrých zastávek ve městech Havířov, Frýdek-Místek a Orlová</w:t>
      </w: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, </w:t>
      </w:r>
      <w:r w:rsidRPr="00E63FE3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ITIOMO/3.1.1/039/IROP/04/0288</w:t>
      </w: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; předkladatel: Transdev Slezsko a.s.</w:t>
      </w:r>
    </w:p>
    <w:p w14:paraId="0F734C2F" w14:textId="3D5D4CA1" w:rsidR="00E63FE3" w:rsidRDefault="00E63FE3" w:rsidP="00E63FE3">
      <w:pPr>
        <w:pStyle w:val="paragraph"/>
        <w:numPr>
          <w:ilvl w:val="0"/>
          <w:numId w:val="36"/>
        </w:numPr>
        <w:spacing w:before="0" w:beforeAutospacing="0" w:after="0" w:line="276" w:lineRule="auto"/>
        <w:jc w:val="both"/>
        <w:textAlignment w:val="baseline"/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</w:pPr>
      <w:r w:rsidRPr="00E63FE3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ITI II.- Modernizace ovládání tramvajových výhybek (V2X)</w:t>
      </w: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, </w:t>
      </w:r>
      <w:r w:rsidRPr="00E63FE3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ITIOMO/3.1.1/039/IROP/04/0291</w:t>
      </w: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; předkladatel: Dopravní podnik a.s.</w:t>
      </w:r>
    </w:p>
    <w:p w14:paraId="436C8C8F" w14:textId="2659CB3A" w:rsidR="00E63FE3" w:rsidRDefault="00E63FE3" w:rsidP="00E63FE3">
      <w:pPr>
        <w:pStyle w:val="paragraph"/>
        <w:spacing w:before="0" w:beforeAutospacing="0" w:after="0" w:line="276" w:lineRule="auto"/>
        <w:jc w:val="both"/>
        <w:textAlignment w:val="baseline"/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Stávající PR obsahuje 4 projekty, z toho 2 projekty jsou již finančně ukončeny</w:t>
      </w:r>
      <w:r w:rsidR="005114DE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a</w:t>
      </w: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1 projekt je v realizaci, a to v celkové výši 12 mil. Kč. </w:t>
      </w:r>
      <w:r w:rsidR="0067765C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U </w:t>
      </w: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1 projekt</w:t>
      </w:r>
      <w:r w:rsidR="0067765C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u </w:t>
      </w: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s předpokládanou výši financování z EU 129 mil. Kč </w:t>
      </w:r>
      <w:r w:rsidR="0067765C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lastRenderedPageBreak/>
        <w:t>je</w:t>
      </w: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 předpokládan</w:t>
      </w:r>
      <w:r w:rsidR="0067765C"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>ý termín</w:t>
      </w:r>
      <w:r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  <w:t xml:space="preserve"> předložení žádosti do konce roku 2025. Tabulka PR opatření č. 13 v čisté i změnové verzi je přílohou č. 9 a 10 předloženého materiálu.</w:t>
      </w:r>
    </w:p>
    <w:p w14:paraId="5D4D89DB" w14:textId="1C405C54" w:rsidR="006A2538" w:rsidRPr="00D2322D" w:rsidRDefault="006A2538" w:rsidP="006A2538">
      <w:pPr>
        <w:pStyle w:val="paragraph"/>
        <w:autoSpaceDE w:val="0"/>
        <w:autoSpaceDN w:val="0"/>
        <w:adjustRightInd w:val="0"/>
        <w:spacing w:before="0" w:beforeAutospacing="0" w:after="58" w:line="276" w:lineRule="auto"/>
        <w:jc w:val="both"/>
        <w:textAlignment w:val="baseline"/>
        <w:rPr>
          <w:rStyle w:val="normaltextrun"/>
          <w:rFonts w:ascii="Aptos" w:hAnsi="Aptos" w:cstheme="minorHAnsi"/>
          <w:sz w:val="22"/>
          <w:szCs w:val="22"/>
        </w:rPr>
      </w:pPr>
      <w:r w:rsidRPr="00D2322D">
        <w:rPr>
          <w:rStyle w:val="normaltextrun"/>
          <w:rFonts w:ascii="Aptos" w:hAnsi="Aptos" w:cs="Calibri"/>
          <w:color w:val="000000"/>
          <w:sz w:val="22"/>
          <w:szCs w:val="22"/>
        </w:rPr>
        <w:t xml:space="preserve">Řídicí výbor Strategie Ostravské metropolitní oblasti schválil nově navrhovanou změnu na svém </w:t>
      </w:r>
      <w:r w:rsidR="00487B29">
        <w:rPr>
          <w:rStyle w:val="normaltextrun"/>
          <w:rFonts w:ascii="Aptos" w:hAnsi="Aptos" w:cs="Calibri"/>
          <w:color w:val="000000"/>
          <w:sz w:val="22"/>
          <w:szCs w:val="22"/>
        </w:rPr>
        <w:t>24</w:t>
      </w:r>
      <w:r w:rsidRPr="00D2322D">
        <w:rPr>
          <w:rStyle w:val="normaltextrun"/>
          <w:rFonts w:ascii="Aptos" w:hAnsi="Aptos" w:cs="Calibri"/>
          <w:color w:val="000000"/>
          <w:sz w:val="22"/>
          <w:szCs w:val="22"/>
        </w:rPr>
        <w:t xml:space="preserve">. jednání </w:t>
      </w:r>
      <w:r w:rsidR="00487B29">
        <w:rPr>
          <w:rStyle w:val="normaltextrun"/>
          <w:rFonts w:ascii="Aptos" w:hAnsi="Aptos" w:cs="Calibri"/>
          <w:color w:val="000000"/>
          <w:sz w:val="22"/>
          <w:szCs w:val="22"/>
        </w:rPr>
        <w:t>13</w:t>
      </w:r>
      <w:r w:rsidRPr="00D2322D">
        <w:rPr>
          <w:rStyle w:val="normaltextrun"/>
          <w:rFonts w:ascii="Aptos" w:hAnsi="Aptos" w:cs="Calibri"/>
          <w:color w:val="000000"/>
          <w:sz w:val="22"/>
          <w:szCs w:val="22"/>
        </w:rPr>
        <w:t>.</w:t>
      </w:r>
      <w:r w:rsidR="00487B29">
        <w:rPr>
          <w:rStyle w:val="normaltextrun"/>
          <w:rFonts w:ascii="Aptos" w:hAnsi="Aptos" w:cs="Calibri"/>
          <w:color w:val="000000"/>
          <w:sz w:val="22"/>
          <w:szCs w:val="22"/>
        </w:rPr>
        <w:t>6</w:t>
      </w:r>
      <w:r w:rsidRPr="00D2322D">
        <w:rPr>
          <w:rStyle w:val="normaltextrun"/>
          <w:rFonts w:ascii="Aptos" w:hAnsi="Aptos" w:cs="Calibri"/>
          <w:color w:val="000000"/>
          <w:sz w:val="22"/>
          <w:szCs w:val="22"/>
        </w:rPr>
        <w:t>.2025.</w:t>
      </w:r>
    </w:p>
    <w:p w14:paraId="02AE6FF4" w14:textId="77777777" w:rsidR="006A2538" w:rsidRDefault="006A2538" w:rsidP="006A2538">
      <w:pPr>
        <w:autoSpaceDE w:val="0"/>
        <w:autoSpaceDN w:val="0"/>
        <w:adjustRightInd w:val="0"/>
        <w:spacing w:after="58"/>
        <w:jc w:val="both"/>
        <w:rPr>
          <w:rStyle w:val="normaltextrun"/>
          <w:rFonts w:ascii="Aptos" w:hAnsi="Aptos" w:cs="Calibri"/>
          <w:color w:val="000000"/>
        </w:rPr>
      </w:pPr>
      <w:r>
        <w:rPr>
          <w:rStyle w:val="normaltextrun"/>
          <w:rFonts w:ascii="Aptos" w:hAnsi="Aptos" w:cs="Calibri"/>
          <w:color w:val="000000"/>
        </w:rPr>
        <w:t>Navrhovaná změna byla konzultována a předjednána s ŘO IROP.</w:t>
      </w:r>
    </w:p>
    <w:p w14:paraId="42CF49B4" w14:textId="77777777" w:rsidR="006A2538" w:rsidRDefault="006A2538" w:rsidP="0020584F">
      <w:pPr>
        <w:autoSpaceDE w:val="0"/>
        <w:autoSpaceDN w:val="0"/>
        <w:adjustRightInd w:val="0"/>
        <w:spacing w:after="0"/>
        <w:jc w:val="both"/>
        <w:rPr>
          <w:rFonts w:ascii="Aptos" w:hAnsi="Aptos" w:cstheme="minorHAnsi"/>
          <w:b/>
          <w:bCs/>
        </w:rPr>
      </w:pPr>
    </w:p>
    <w:p w14:paraId="13E53B50" w14:textId="4521F560" w:rsidR="0020584F" w:rsidRPr="007C73EC" w:rsidRDefault="0020584F" w:rsidP="0020584F">
      <w:pPr>
        <w:autoSpaceDE w:val="0"/>
        <w:autoSpaceDN w:val="0"/>
        <w:adjustRightInd w:val="0"/>
        <w:spacing w:after="0"/>
        <w:jc w:val="both"/>
        <w:rPr>
          <w:rFonts w:ascii="Aptos" w:hAnsi="Aptos" w:cstheme="minorHAnsi"/>
          <w:b/>
          <w:bCs/>
        </w:rPr>
      </w:pPr>
      <w:r w:rsidRPr="007C73EC">
        <w:rPr>
          <w:rFonts w:ascii="Aptos" w:hAnsi="Aptos" w:cstheme="minorHAnsi"/>
          <w:b/>
          <w:bCs/>
        </w:rPr>
        <w:t>Akční plán</w:t>
      </w:r>
      <w:r w:rsidR="007F7F2E" w:rsidRPr="007C73EC">
        <w:rPr>
          <w:rFonts w:ascii="Aptos" w:hAnsi="Aptos" w:cstheme="minorHAnsi"/>
          <w:b/>
          <w:bCs/>
        </w:rPr>
        <w:t xml:space="preserve"> Integrované územní </w:t>
      </w:r>
      <w:r w:rsidR="00D04BCA" w:rsidRPr="007C73EC">
        <w:rPr>
          <w:rFonts w:ascii="Aptos" w:hAnsi="Aptos" w:cstheme="minorHAnsi"/>
          <w:b/>
          <w:bCs/>
        </w:rPr>
        <w:t>S</w:t>
      </w:r>
      <w:r w:rsidR="007F7F2E" w:rsidRPr="007C73EC">
        <w:rPr>
          <w:rFonts w:ascii="Aptos" w:hAnsi="Aptos" w:cstheme="minorHAnsi"/>
          <w:b/>
          <w:bCs/>
        </w:rPr>
        <w:t>trategie Ostravské metropolitní oblasti 2021-2027</w:t>
      </w:r>
    </w:p>
    <w:p w14:paraId="5C211C77" w14:textId="77777777" w:rsidR="0020584F" w:rsidRPr="007C73EC" w:rsidRDefault="0020584F" w:rsidP="0020584F">
      <w:pPr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</w:p>
    <w:p w14:paraId="5AC8542B" w14:textId="37546514" w:rsidR="00E35E95" w:rsidRPr="007C73EC" w:rsidRDefault="0020584F" w:rsidP="00E35E95">
      <w:pPr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7C73EC">
        <w:rPr>
          <w:rFonts w:ascii="Aptos" w:hAnsi="Aptos" w:cstheme="minorHAnsi"/>
          <w:bCs/>
        </w:rPr>
        <w:t>Akční plán navazuje na koncepční</w:t>
      </w:r>
      <w:r w:rsidR="00F74630" w:rsidRPr="007C73EC">
        <w:rPr>
          <w:rFonts w:ascii="Aptos" w:hAnsi="Aptos" w:cstheme="minorHAnsi"/>
          <w:bCs/>
        </w:rPr>
        <w:t xml:space="preserve"> (textovou) </w:t>
      </w:r>
      <w:r w:rsidRPr="007C73EC">
        <w:rPr>
          <w:rFonts w:ascii="Aptos" w:hAnsi="Aptos" w:cstheme="minorHAnsi"/>
          <w:bCs/>
        </w:rPr>
        <w:t>část Strategie, a je složen z</w:t>
      </w:r>
      <w:r w:rsidR="007F7F2E" w:rsidRPr="007C73EC">
        <w:rPr>
          <w:rFonts w:ascii="Aptos" w:hAnsi="Aptos" w:cstheme="minorHAnsi"/>
          <w:bCs/>
        </w:rPr>
        <w:t xml:space="preserve"> jednotlivých </w:t>
      </w:r>
      <w:r w:rsidRPr="007C73EC">
        <w:rPr>
          <w:rFonts w:ascii="Aptos" w:hAnsi="Aptos" w:cstheme="minorHAnsi"/>
          <w:bCs/>
        </w:rPr>
        <w:t xml:space="preserve">programových rámců. </w:t>
      </w:r>
      <w:r w:rsidR="007F7F2E" w:rsidRPr="007C73EC">
        <w:rPr>
          <w:rFonts w:ascii="Aptos" w:hAnsi="Aptos" w:cstheme="minorHAnsi"/>
          <w:bCs/>
        </w:rPr>
        <w:t>P</w:t>
      </w:r>
      <w:r w:rsidRPr="007C73EC">
        <w:rPr>
          <w:rFonts w:ascii="Aptos" w:hAnsi="Aptos" w:cstheme="minorHAnsi"/>
          <w:bCs/>
        </w:rPr>
        <w:t xml:space="preserve">rogramový rámec obsahuje finanční plán, plán indikátorů a seznam strategických projektů, které přispívají k naplnění Strategie a které budou následně financovány z příslušného operačního programu. </w:t>
      </w:r>
      <w:r w:rsidR="00E35E95" w:rsidRPr="007C73EC">
        <w:rPr>
          <w:rFonts w:ascii="Aptos" w:hAnsi="Aptos" w:cstheme="minorHAnsi"/>
        </w:rPr>
        <w:t xml:space="preserve">Akční plán je projednáván a konsenzuálně schvalován (dle platných metodických pokynů) stejně jako Strategie, </w:t>
      </w:r>
      <w:r w:rsidR="00E35E95" w:rsidRPr="007C73EC">
        <w:rPr>
          <w:rFonts w:ascii="Aptos" w:hAnsi="Aptos" w:cstheme="minorHAnsi"/>
          <w:b/>
          <w:bCs/>
        </w:rPr>
        <w:t>Řídicím výborem Strategie, radou města a zastupitelstvem města v roli nositele Strategie</w:t>
      </w:r>
      <w:r w:rsidR="00E35E95" w:rsidRPr="007C73EC">
        <w:rPr>
          <w:rFonts w:ascii="Aptos" w:hAnsi="Aptos" w:cstheme="minorHAnsi"/>
        </w:rPr>
        <w:t>.</w:t>
      </w:r>
    </w:p>
    <w:p w14:paraId="1030A7AA" w14:textId="2D276175" w:rsidR="00440991" w:rsidRPr="004C4923" w:rsidRDefault="0020584F" w:rsidP="004C4923">
      <w:pPr>
        <w:jc w:val="both"/>
        <w:rPr>
          <w:rFonts w:ascii="Aptos" w:hAnsi="Aptos" w:cstheme="minorHAnsi"/>
          <w:bCs/>
        </w:rPr>
      </w:pPr>
      <w:r w:rsidRPr="007C73EC">
        <w:rPr>
          <w:rFonts w:ascii="Aptos" w:hAnsi="Aptos" w:cstheme="minorHAnsi"/>
          <w:bCs/>
        </w:rPr>
        <w:t xml:space="preserve">Národní metodické pokyny umožňují schvalovat </w:t>
      </w:r>
      <w:r w:rsidR="007F7F2E" w:rsidRPr="007C73EC">
        <w:rPr>
          <w:rFonts w:ascii="Aptos" w:hAnsi="Aptos" w:cstheme="minorHAnsi"/>
          <w:bCs/>
        </w:rPr>
        <w:t xml:space="preserve">jednotlivé </w:t>
      </w:r>
      <w:r w:rsidRPr="007C73EC">
        <w:rPr>
          <w:rFonts w:ascii="Aptos" w:hAnsi="Aptos" w:cstheme="minorHAnsi"/>
          <w:bCs/>
        </w:rPr>
        <w:t>programové rámce samostatně a</w:t>
      </w:r>
      <w:r w:rsidR="00650309" w:rsidRPr="007C73EC">
        <w:rPr>
          <w:rFonts w:ascii="Aptos" w:hAnsi="Aptos" w:cstheme="minorHAnsi"/>
          <w:bCs/>
        </w:rPr>
        <w:t xml:space="preserve"> v čase</w:t>
      </w:r>
      <w:r w:rsidRPr="007C73EC">
        <w:rPr>
          <w:rFonts w:ascii="Aptos" w:hAnsi="Aptos" w:cstheme="minorHAnsi"/>
          <w:bCs/>
        </w:rPr>
        <w:t xml:space="preserve"> postupně.</w:t>
      </w:r>
      <w:r w:rsidR="00F57F33" w:rsidRPr="007C73EC">
        <w:rPr>
          <w:rFonts w:ascii="Aptos" w:hAnsi="Aptos" w:cstheme="minorHAnsi"/>
          <w:bCs/>
        </w:rPr>
        <w:t xml:space="preserve"> </w:t>
      </w:r>
      <w:r w:rsidR="00F74630" w:rsidRPr="007C73EC">
        <w:rPr>
          <w:rFonts w:ascii="Aptos" w:hAnsi="Aptos" w:cstheme="minorHAnsi"/>
          <w:bCs/>
        </w:rPr>
        <w:t>Akční plán Strategie obsahuje</w:t>
      </w:r>
      <w:r w:rsidR="0091435A" w:rsidRPr="007C73EC">
        <w:rPr>
          <w:rFonts w:ascii="Aptos" w:hAnsi="Aptos" w:cstheme="minorHAnsi"/>
          <w:bCs/>
        </w:rPr>
        <w:t xml:space="preserve"> </w:t>
      </w:r>
      <w:r w:rsidR="00CC7DEA">
        <w:rPr>
          <w:rFonts w:ascii="Aptos" w:hAnsi="Aptos" w:cstheme="minorHAnsi"/>
          <w:bCs/>
        </w:rPr>
        <w:t>5</w:t>
      </w:r>
      <w:r w:rsidR="0091435A" w:rsidRPr="007C73EC">
        <w:rPr>
          <w:rFonts w:ascii="Aptos" w:hAnsi="Aptos" w:cstheme="minorHAnsi"/>
          <w:bCs/>
        </w:rPr>
        <w:t xml:space="preserve"> programových rámců řídicích orgánů OPD, OPŽP, OP JAK, OP TAK a IROP. Všechny programové rámce</w:t>
      </w:r>
      <w:r w:rsidR="007C73EC">
        <w:rPr>
          <w:rFonts w:ascii="Aptos" w:hAnsi="Aptos" w:cstheme="minorHAnsi"/>
          <w:bCs/>
        </w:rPr>
        <w:t xml:space="preserve"> Strategie</w:t>
      </w:r>
      <w:r w:rsidR="0091435A" w:rsidRPr="007C73EC">
        <w:rPr>
          <w:rFonts w:ascii="Aptos" w:hAnsi="Aptos" w:cstheme="minorHAnsi"/>
          <w:bCs/>
        </w:rPr>
        <w:t xml:space="preserve"> jsou schválené příslušnými řídicími orgány.</w:t>
      </w:r>
    </w:p>
    <w:p w14:paraId="051C489A" w14:textId="54715F4B" w:rsidR="00E35E95" w:rsidRPr="007C73EC" w:rsidRDefault="00E35E95" w:rsidP="00E35E95">
      <w:pPr>
        <w:autoSpaceDE w:val="0"/>
        <w:autoSpaceDN w:val="0"/>
        <w:adjustRightInd w:val="0"/>
        <w:spacing w:after="0"/>
        <w:jc w:val="both"/>
        <w:rPr>
          <w:rFonts w:ascii="Aptos" w:hAnsi="Aptos" w:cstheme="minorHAnsi"/>
          <w:b/>
          <w:bCs/>
        </w:rPr>
      </w:pPr>
      <w:r w:rsidRPr="007C73EC">
        <w:rPr>
          <w:rFonts w:ascii="Aptos" w:hAnsi="Aptos" w:cstheme="minorHAnsi"/>
          <w:b/>
          <w:bCs/>
        </w:rPr>
        <w:t>Programový rámec IROP byl zastupitelstvem schválen dne 22.2. 2023 usnesením č. 0156/ZM2226/5.</w:t>
      </w:r>
    </w:p>
    <w:p w14:paraId="2919F63E" w14:textId="080CE49B" w:rsidR="00E35E95" w:rsidRDefault="00E35E95" w:rsidP="00E35E95">
      <w:pPr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7C73EC">
        <w:rPr>
          <w:rFonts w:ascii="Aptos" w:hAnsi="Aptos" w:cstheme="minorHAnsi"/>
        </w:rPr>
        <w:t>Programový rámec IROP byl schválen řídícím orgánem (Ministerstvo pro místní rozvoj ČR) dne 29.5.2023.</w:t>
      </w:r>
    </w:p>
    <w:p w14:paraId="677FA067" w14:textId="77777777" w:rsidR="006A2538" w:rsidRDefault="006A2538" w:rsidP="00E35E95">
      <w:pPr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</w:p>
    <w:p w14:paraId="07FFE72E" w14:textId="7892D616" w:rsidR="006A2538" w:rsidRDefault="006A2538" w:rsidP="00E35E95">
      <w:pPr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 w:rsidRPr="007C73EC">
        <w:rPr>
          <w:rFonts w:ascii="Aptos" w:hAnsi="Aptos" w:cstheme="minorHAnsi"/>
          <w:b/>
          <w:bCs/>
        </w:rPr>
        <w:t>Integrovaná územní strategie Ostravské metropolitní oblasti 2021-2027</w:t>
      </w:r>
      <w:r w:rsidRPr="007C73EC">
        <w:rPr>
          <w:rFonts w:ascii="Aptos" w:hAnsi="Aptos" w:cstheme="minorHAnsi"/>
        </w:rPr>
        <w:t xml:space="preserve"> je strategický dokument, kterým je realizována integrovaná teritoriální investice (dále jen ITI) – integrovaný nástroj pro 10 aglomerací a 3 metropolitní oblasti v ČR. Prostřednictvím nástroje ITI jsou „rezervovány“ finanční prostředky v jednotlivých operačních programech, které jsou spravovány ministerstvy – řídícími orgány (operační programy, dále jen OP, jsou financovány z evropských strukturálních a investičních fondů dále jen ESIF).</w:t>
      </w:r>
    </w:p>
    <w:p w14:paraId="327C7B8C" w14:textId="0CA70D2D" w:rsidR="00CD1D89" w:rsidRDefault="00CC7DEA" w:rsidP="00E35E95">
      <w:pPr>
        <w:autoSpaceDE w:val="0"/>
        <w:autoSpaceDN w:val="0"/>
        <w:adjustRightInd w:val="0"/>
        <w:spacing w:after="0"/>
        <w:jc w:val="both"/>
        <w:rPr>
          <w:rFonts w:ascii="Aptos" w:hAnsi="Aptos"/>
        </w:rPr>
      </w:pPr>
      <w:r w:rsidRPr="00CC7DEA">
        <w:rPr>
          <w:rFonts w:ascii="Aptos" w:hAnsi="Aptos"/>
        </w:rPr>
        <w:t>V současném programovém období EU 2021-2027 máme v</w:t>
      </w:r>
      <w:r>
        <w:rPr>
          <w:rFonts w:ascii="Aptos" w:hAnsi="Aptos"/>
        </w:rPr>
        <w:t> </w:t>
      </w:r>
      <w:r w:rsidRPr="00CC7DEA">
        <w:rPr>
          <w:rFonts w:ascii="Aptos" w:hAnsi="Aptos"/>
        </w:rPr>
        <w:t>rámci</w:t>
      </w:r>
      <w:r>
        <w:rPr>
          <w:rFonts w:ascii="Aptos" w:hAnsi="Aptos"/>
        </w:rPr>
        <w:t xml:space="preserve"> nástroje</w:t>
      </w:r>
      <w:r w:rsidRPr="00CC7DEA">
        <w:rPr>
          <w:rFonts w:ascii="Aptos" w:hAnsi="Aptos"/>
        </w:rPr>
        <w:t xml:space="preserve"> ITI příspěvek EU 7,7 mld. Kč v pěti O</w:t>
      </w:r>
      <w:r>
        <w:rPr>
          <w:rFonts w:ascii="Aptos" w:hAnsi="Aptos"/>
        </w:rPr>
        <w:t>peračních programech</w:t>
      </w:r>
      <w:r w:rsidRPr="00CC7DEA">
        <w:rPr>
          <w:rFonts w:ascii="Aptos" w:hAnsi="Aptos"/>
        </w:rPr>
        <w:t>. Do dnešního dne se podařilo do systému ISKP registrovat 1</w:t>
      </w:r>
      <w:r w:rsidR="00AA055D">
        <w:rPr>
          <w:rFonts w:ascii="Aptos" w:hAnsi="Aptos"/>
        </w:rPr>
        <w:t>6</w:t>
      </w:r>
      <w:r w:rsidR="00CD1D89">
        <w:rPr>
          <w:rFonts w:ascii="Aptos" w:hAnsi="Aptos"/>
        </w:rPr>
        <w:t>4</w:t>
      </w:r>
      <w:r w:rsidRPr="00CC7DEA">
        <w:rPr>
          <w:rFonts w:ascii="Aptos" w:hAnsi="Aptos"/>
        </w:rPr>
        <w:t xml:space="preserve"> projektů s požadovanou podporou EU ve výši 3</w:t>
      </w:r>
      <w:r w:rsidR="00AA055D">
        <w:rPr>
          <w:rFonts w:ascii="Aptos" w:hAnsi="Aptos"/>
        </w:rPr>
        <w:t>,2</w:t>
      </w:r>
      <w:r w:rsidRPr="00CC7DEA">
        <w:rPr>
          <w:rFonts w:ascii="Aptos" w:hAnsi="Aptos"/>
        </w:rPr>
        <w:t xml:space="preserve"> mld. Kč. Projektů v rámci Ostravy je registrováno 3</w:t>
      </w:r>
      <w:r w:rsidR="00CD1D89">
        <w:rPr>
          <w:rFonts w:ascii="Aptos" w:hAnsi="Aptos"/>
        </w:rPr>
        <w:t>2</w:t>
      </w:r>
      <w:r w:rsidRPr="00CC7DEA">
        <w:rPr>
          <w:rFonts w:ascii="Aptos" w:hAnsi="Aptos"/>
        </w:rPr>
        <w:t xml:space="preserve"> za 1,</w:t>
      </w:r>
      <w:r w:rsidR="0084485F">
        <w:rPr>
          <w:rFonts w:ascii="Aptos" w:hAnsi="Aptos"/>
        </w:rPr>
        <w:t>3</w:t>
      </w:r>
      <w:r w:rsidRPr="00CC7DEA">
        <w:rPr>
          <w:rFonts w:ascii="Aptos" w:hAnsi="Aptos"/>
        </w:rPr>
        <w:t xml:space="preserve"> mld. Kč. Spadají sem projekty statutárního města Ostravy i jeho městských obvodů a různých městských organizací.</w:t>
      </w:r>
      <w:r>
        <w:rPr>
          <w:rFonts w:ascii="Aptos" w:hAnsi="Aptos"/>
        </w:rPr>
        <w:t xml:space="preserve"> </w:t>
      </w:r>
    </w:p>
    <w:p w14:paraId="0599F677" w14:textId="6608EF67" w:rsidR="00CC7DEA" w:rsidRPr="00CC7DEA" w:rsidRDefault="009369AC" w:rsidP="00E35E95">
      <w:pPr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  <w:r>
        <w:rPr>
          <w:rFonts w:ascii="Aptos" w:hAnsi="Aptos"/>
        </w:rPr>
        <w:t>Jednou z podmínek ŘO IROP je</w:t>
      </w:r>
      <w:r w:rsidR="00CC7DEA">
        <w:rPr>
          <w:rFonts w:ascii="Aptos" w:hAnsi="Aptos"/>
        </w:rPr>
        <w:t xml:space="preserve"> objem </w:t>
      </w:r>
      <w:r w:rsidR="00FC371C">
        <w:rPr>
          <w:rFonts w:ascii="Aptos" w:hAnsi="Aptos"/>
        </w:rPr>
        <w:t>profinancovaných projektů</w:t>
      </w:r>
      <w:r w:rsidR="00CC7DEA">
        <w:rPr>
          <w:rFonts w:ascii="Aptos" w:hAnsi="Aptos"/>
        </w:rPr>
        <w:t xml:space="preserve"> v</w:t>
      </w:r>
      <w:r w:rsidR="00FC371C">
        <w:rPr>
          <w:rFonts w:ascii="Aptos" w:hAnsi="Aptos"/>
        </w:rPr>
        <w:t xml:space="preserve"> roce 2025 v </w:t>
      </w:r>
      <w:r w:rsidR="00CC7DEA">
        <w:rPr>
          <w:rFonts w:ascii="Aptos" w:hAnsi="Aptos"/>
        </w:rPr>
        <w:t xml:space="preserve">min. objemu </w:t>
      </w:r>
      <w:r w:rsidR="00217A87">
        <w:rPr>
          <w:rFonts w:ascii="Aptos" w:hAnsi="Aptos"/>
        </w:rPr>
        <w:br/>
      </w:r>
      <w:r w:rsidR="00CC7DEA">
        <w:rPr>
          <w:rFonts w:ascii="Aptos" w:hAnsi="Aptos"/>
        </w:rPr>
        <w:t>17.08 %</w:t>
      </w:r>
      <w:r w:rsidR="00FC371C">
        <w:rPr>
          <w:rFonts w:ascii="Aptos" w:hAnsi="Aptos"/>
        </w:rPr>
        <w:t xml:space="preserve"> její celkové alokace, což činí min. </w:t>
      </w:r>
      <w:r>
        <w:rPr>
          <w:rFonts w:ascii="Aptos" w:hAnsi="Aptos"/>
        </w:rPr>
        <w:t>731</w:t>
      </w:r>
      <w:r w:rsidR="00FC371C">
        <w:rPr>
          <w:rFonts w:ascii="Aptos" w:hAnsi="Aptos"/>
        </w:rPr>
        <w:t xml:space="preserve"> mil. Kč</w:t>
      </w:r>
      <w:r w:rsidR="00CC7DEA">
        <w:rPr>
          <w:rFonts w:ascii="Aptos" w:hAnsi="Aptos"/>
        </w:rPr>
        <w:t xml:space="preserve"> </w:t>
      </w:r>
      <w:r w:rsidR="00FC371C">
        <w:rPr>
          <w:rFonts w:ascii="Aptos" w:hAnsi="Aptos"/>
        </w:rPr>
        <w:t>z</w:t>
      </w:r>
      <w:r w:rsidR="00CC7DEA">
        <w:rPr>
          <w:rFonts w:ascii="Aptos" w:hAnsi="Aptos"/>
        </w:rPr>
        <w:t> 4,</w:t>
      </w:r>
      <w:r w:rsidR="00344F94">
        <w:rPr>
          <w:rFonts w:ascii="Aptos" w:hAnsi="Aptos"/>
        </w:rPr>
        <w:t>3</w:t>
      </w:r>
      <w:r w:rsidR="00CC7DEA">
        <w:rPr>
          <w:rFonts w:ascii="Aptos" w:hAnsi="Aptos"/>
        </w:rPr>
        <w:t xml:space="preserve"> mld. Kč</w:t>
      </w:r>
      <w:r w:rsidR="00344F94">
        <w:rPr>
          <w:rFonts w:ascii="Aptos" w:hAnsi="Aptos"/>
        </w:rPr>
        <w:t>.</w:t>
      </w:r>
      <w:r w:rsidR="007F7982">
        <w:rPr>
          <w:rFonts w:ascii="Aptos" w:hAnsi="Aptos"/>
        </w:rPr>
        <w:t xml:space="preserve"> </w:t>
      </w:r>
      <w:r>
        <w:rPr>
          <w:rFonts w:ascii="Aptos" w:hAnsi="Aptos"/>
        </w:rPr>
        <w:t>Strategie naplnila finanční plán pro rok 2025 v objemu 844 mil. Kč podaných žádostí o platbu do konce června 2025.</w:t>
      </w:r>
      <w:r w:rsidR="00217A87">
        <w:rPr>
          <w:rFonts w:ascii="Aptos" w:hAnsi="Aptos"/>
        </w:rPr>
        <w:t xml:space="preserve"> Podmínka řídicího orgánu byla splněna.</w:t>
      </w:r>
    </w:p>
    <w:p w14:paraId="2D0DEBC4" w14:textId="77777777" w:rsidR="00CC7DEA" w:rsidRDefault="00CC7DEA" w:rsidP="00E35E95">
      <w:pPr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</w:p>
    <w:p w14:paraId="1FDEAAF7" w14:textId="77777777" w:rsidR="00FA23E9" w:rsidRDefault="00FA23E9" w:rsidP="00E35E95">
      <w:pPr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</w:p>
    <w:p w14:paraId="21668118" w14:textId="77777777" w:rsidR="00FA23E9" w:rsidRDefault="00FA23E9" w:rsidP="00E35E95">
      <w:pPr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</w:p>
    <w:p w14:paraId="3D40EE6F" w14:textId="77777777" w:rsidR="006A2538" w:rsidRPr="007C73EC" w:rsidRDefault="006A2538" w:rsidP="00E35E95">
      <w:pPr>
        <w:autoSpaceDE w:val="0"/>
        <w:autoSpaceDN w:val="0"/>
        <w:adjustRightInd w:val="0"/>
        <w:spacing w:after="0"/>
        <w:jc w:val="both"/>
        <w:rPr>
          <w:rFonts w:ascii="Aptos" w:hAnsi="Aptos" w:cstheme="minorHAnsi"/>
        </w:rPr>
      </w:pPr>
    </w:p>
    <w:p w14:paraId="198863B2" w14:textId="2B648821" w:rsidR="007B3F77" w:rsidRPr="007C73EC" w:rsidRDefault="007B3F77" w:rsidP="006A2538">
      <w:pPr>
        <w:pStyle w:val="paragraph"/>
        <w:spacing w:before="0" w:beforeAutospacing="0" w:after="0" w:line="276" w:lineRule="auto"/>
        <w:jc w:val="both"/>
        <w:textAlignment w:val="baseline"/>
        <w:rPr>
          <w:rStyle w:val="normaltextrun"/>
          <w:rFonts w:ascii="Aptos" w:hAnsi="Aptos" w:cstheme="minorHAnsi"/>
          <w:sz w:val="22"/>
          <w:szCs w:val="22"/>
          <w:shd w:val="clear" w:color="auto" w:fill="FFFFFF"/>
        </w:rPr>
      </w:pPr>
    </w:p>
    <w:sectPr w:rsidR="007B3F77" w:rsidRPr="007C73EC" w:rsidSect="00FE0C82">
      <w:type w:val="continuous"/>
      <w:pgSz w:w="11906" w:h="16838"/>
      <w:pgMar w:top="851" w:right="127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1D458" w14:textId="77777777" w:rsidR="00596912" w:rsidRDefault="00596912" w:rsidP="00B45140">
      <w:pPr>
        <w:spacing w:after="0" w:line="240" w:lineRule="auto"/>
      </w:pPr>
      <w:r>
        <w:separator/>
      </w:r>
    </w:p>
  </w:endnote>
  <w:endnote w:type="continuationSeparator" w:id="0">
    <w:p w14:paraId="28D318DB" w14:textId="77777777" w:rsidR="00596912" w:rsidRDefault="00596912" w:rsidP="00B4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43EFA" w14:textId="77777777" w:rsidR="00596912" w:rsidRDefault="00596912" w:rsidP="00B45140">
      <w:pPr>
        <w:spacing w:after="0" w:line="240" w:lineRule="auto"/>
      </w:pPr>
      <w:r>
        <w:separator/>
      </w:r>
    </w:p>
  </w:footnote>
  <w:footnote w:type="continuationSeparator" w:id="0">
    <w:p w14:paraId="4389750F" w14:textId="77777777" w:rsidR="00596912" w:rsidRDefault="00596912" w:rsidP="00B45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08AA"/>
    <w:multiLevelType w:val="hybridMultilevel"/>
    <w:tmpl w:val="4468C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545C"/>
    <w:multiLevelType w:val="hybridMultilevel"/>
    <w:tmpl w:val="E8AA72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98AD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407FA0"/>
    <w:multiLevelType w:val="hybridMultilevel"/>
    <w:tmpl w:val="0C8236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21FD"/>
    <w:multiLevelType w:val="hybridMultilevel"/>
    <w:tmpl w:val="0CD25A4E"/>
    <w:lvl w:ilvl="0" w:tplc="970E72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44AAA"/>
    <w:multiLevelType w:val="hybridMultilevel"/>
    <w:tmpl w:val="3C028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D74A0"/>
    <w:multiLevelType w:val="hybridMultilevel"/>
    <w:tmpl w:val="BE927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78E2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2292E7B"/>
    <w:multiLevelType w:val="hybridMultilevel"/>
    <w:tmpl w:val="543CF4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72A3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BE0677"/>
    <w:multiLevelType w:val="hybridMultilevel"/>
    <w:tmpl w:val="1FFEABFE"/>
    <w:lvl w:ilvl="0" w:tplc="59A2284A">
      <w:start w:val="3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014846"/>
    <w:multiLevelType w:val="hybridMultilevel"/>
    <w:tmpl w:val="BFC8F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B1CF2"/>
    <w:multiLevelType w:val="hybridMultilevel"/>
    <w:tmpl w:val="B37400FA"/>
    <w:lvl w:ilvl="0" w:tplc="ECCAA70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90D0B0D"/>
    <w:multiLevelType w:val="hybridMultilevel"/>
    <w:tmpl w:val="5532E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109C6"/>
    <w:multiLevelType w:val="hybridMultilevel"/>
    <w:tmpl w:val="2C645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B4886"/>
    <w:multiLevelType w:val="hybridMultilevel"/>
    <w:tmpl w:val="160C4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D2232"/>
    <w:multiLevelType w:val="hybridMultilevel"/>
    <w:tmpl w:val="1EAE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F4DD1"/>
    <w:multiLevelType w:val="hybridMultilevel"/>
    <w:tmpl w:val="33861198"/>
    <w:lvl w:ilvl="0" w:tplc="0405000F">
      <w:start w:val="1"/>
      <w:numFmt w:val="decimal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34C93D71"/>
    <w:multiLevelType w:val="hybridMultilevel"/>
    <w:tmpl w:val="41B089E2"/>
    <w:lvl w:ilvl="0" w:tplc="135E5A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E03B9"/>
    <w:multiLevelType w:val="hybridMultilevel"/>
    <w:tmpl w:val="F82653BC"/>
    <w:lvl w:ilvl="0" w:tplc="4BB0204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7037F21"/>
    <w:multiLevelType w:val="hybridMultilevel"/>
    <w:tmpl w:val="4E3E1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53075"/>
    <w:multiLevelType w:val="hybridMultilevel"/>
    <w:tmpl w:val="A8E00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73AD1"/>
    <w:multiLevelType w:val="hybridMultilevel"/>
    <w:tmpl w:val="A2E0ED64"/>
    <w:lvl w:ilvl="0" w:tplc="AFE0B0A8">
      <w:start w:val="4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295C5A"/>
    <w:multiLevelType w:val="hybridMultilevel"/>
    <w:tmpl w:val="73E0B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F6223"/>
    <w:multiLevelType w:val="hybridMultilevel"/>
    <w:tmpl w:val="47E6A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52EC1"/>
    <w:multiLevelType w:val="hybridMultilevel"/>
    <w:tmpl w:val="E3889864"/>
    <w:lvl w:ilvl="0" w:tplc="4BB020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10C1A"/>
    <w:multiLevelType w:val="hybridMultilevel"/>
    <w:tmpl w:val="E7C4F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114BE"/>
    <w:multiLevelType w:val="hybridMultilevel"/>
    <w:tmpl w:val="567AE154"/>
    <w:lvl w:ilvl="0" w:tplc="CD6C205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FF1057"/>
    <w:multiLevelType w:val="hybridMultilevel"/>
    <w:tmpl w:val="23E2FFD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149A7"/>
    <w:multiLevelType w:val="hybridMultilevel"/>
    <w:tmpl w:val="B82044D6"/>
    <w:lvl w:ilvl="0" w:tplc="15C6BD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45E32"/>
    <w:multiLevelType w:val="hybridMultilevel"/>
    <w:tmpl w:val="603AFB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FF2E74"/>
    <w:multiLevelType w:val="hybridMultilevel"/>
    <w:tmpl w:val="888CE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D3269"/>
    <w:multiLevelType w:val="hybridMultilevel"/>
    <w:tmpl w:val="4796B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D599B"/>
    <w:multiLevelType w:val="hybridMultilevel"/>
    <w:tmpl w:val="1EBA4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D434C"/>
    <w:multiLevelType w:val="hybridMultilevel"/>
    <w:tmpl w:val="0EC86BDC"/>
    <w:lvl w:ilvl="0" w:tplc="718C86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98550">
    <w:abstractNumId w:val="25"/>
  </w:num>
  <w:num w:numId="2" w16cid:durableId="725760526">
    <w:abstractNumId w:val="6"/>
  </w:num>
  <w:num w:numId="3" w16cid:durableId="151720218">
    <w:abstractNumId w:val="19"/>
  </w:num>
  <w:num w:numId="4" w16cid:durableId="1292175856">
    <w:abstractNumId w:val="19"/>
  </w:num>
  <w:num w:numId="5" w16cid:durableId="863592489">
    <w:abstractNumId w:val="12"/>
  </w:num>
  <w:num w:numId="6" w16cid:durableId="100344223">
    <w:abstractNumId w:val="4"/>
  </w:num>
  <w:num w:numId="7" w16cid:durableId="1565141850">
    <w:abstractNumId w:val="4"/>
  </w:num>
  <w:num w:numId="8" w16cid:durableId="1722828621">
    <w:abstractNumId w:val="8"/>
  </w:num>
  <w:num w:numId="9" w16cid:durableId="37319352">
    <w:abstractNumId w:val="23"/>
  </w:num>
  <w:num w:numId="10" w16cid:durableId="484509855">
    <w:abstractNumId w:val="28"/>
  </w:num>
  <w:num w:numId="11" w16cid:durableId="579604267">
    <w:abstractNumId w:val="33"/>
  </w:num>
  <w:num w:numId="12" w16cid:durableId="336421888">
    <w:abstractNumId w:val="24"/>
  </w:num>
  <w:num w:numId="13" w16cid:durableId="925069790">
    <w:abstractNumId w:val="13"/>
  </w:num>
  <w:num w:numId="14" w16cid:durableId="154303949">
    <w:abstractNumId w:val="9"/>
  </w:num>
  <w:num w:numId="15" w16cid:durableId="1320843446">
    <w:abstractNumId w:val="18"/>
  </w:num>
  <w:num w:numId="16" w16cid:durableId="1425960527">
    <w:abstractNumId w:val="10"/>
  </w:num>
  <w:num w:numId="17" w16cid:durableId="2051565139">
    <w:abstractNumId w:val="26"/>
  </w:num>
  <w:num w:numId="18" w16cid:durableId="319582775">
    <w:abstractNumId w:val="11"/>
  </w:num>
  <w:num w:numId="19" w16cid:durableId="1719278995">
    <w:abstractNumId w:val="21"/>
  </w:num>
  <w:num w:numId="20" w16cid:durableId="748230991">
    <w:abstractNumId w:val="29"/>
  </w:num>
  <w:num w:numId="21" w16cid:durableId="1311713682">
    <w:abstractNumId w:val="27"/>
  </w:num>
  <w:num w:numId="22" w16cid:durableId="544220387">
    <w:abstractNumId w:val="22"/>
  </w:num>
  <w:num w:numId="23" w16cid:durableId="259223946">
    <w:abstractNumId w:val="5"/>
  </w:num>
  <w:num w:numId="24" w16cid:durableId="761801411">
    <w:abstractNumId w:val="16"/>
  </w:num>
  <w:num w:numId="25" w16cid:durableId="1025785009">
    <w:abstractNumId w:val="3"/>
  </w:num>
  <w:num w:numId="26" w16cid:durableId="1319574108">
    <w:abstractNumId w:val="0"/>
  </w:num>
  <w:num w:numId="27" w16cid:durableId="915626533">
    <w:abstractNumId w:val="1"/>
  </w:num>
  <w:num w:numId="28" w16cid:durableId="2108689157">
    <w:abstractNumId w:val="31"/>
  </w:num>
  <w:num w:numId="29" w16cid:durableId="2080008294">
    <w:abstractNumId w:val="30"/>
  </w:num>
  <w:num w:numId="30" w16cid:durableId="1837115518">
    <w:abstractNumId w:val="15"/>
  </w:num>
  <w:num w:numId="31" w16cid:durableId="1911697311">
    <w:abstractNumId w:val="7"/>
  </w:num>
  <w:num w:numId="32" w16cid:durableId="1122308748">
    <w:abstractNumId w:val="2"/>
  </w:num>
  <w:num w:numId="33" w16cid:durableId="1950161956">
    <w:abstractNumId w:val="17"/>
  </w:num>
  <w:num w:numId="34" w16cid:durableId="1179779790">
    <w:abstractNumId w:val="20"/>
  </w:num>
  <w:num w:numId="35" w16cid:durableId="1259563971">
    <w:abstractNumId w:val="32"/>
  </w:num>
  <w:num w:numId="36" w16cid:durableId="17813381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CC"/>
    <w:rsid w:val="00000760"/>
    <w:rsid w:val="00001DB7"/>
    <w:rsid w:val="00004F28"/>
    <w:rsid w:val="0001408F"/>
    <w:rsid w:val="000145B2"/>
    <w:rsid w:val="00015590"/>
    <w:rsid w:val="00021D67"/>
    <w:rsid w:val="00021E27"/>
    <w:rsid w:val="00024157"/>
    <w:rsid w:val="00027D7F"/>
    <w:rsid w:val="000303DA"/>
    <w:rsid w:val="000327B7"/>
    <w:rsid w:val="00033F20"/>
    <w:rsid w:val="000415C0"/>
    <w:rsid w:val="00041EBA"/>
    <w:rsid w:val="00045A11"/>
    <w:rsid w:val="00052E29"/>
    <w:rsid w:val="000573B0"/>
    <w:rsid w:val="00062BD6"/>
    <w:rsid w:val="00063430"/>
    <w:rsid w:val="0008275B"/>
    <w:rsid w:val="000928B5"/>
    <w:rsid w:val="000A4067"/>
    <w:rsid w:val="000A55AB"/>
    <w:rsid w:val="000A67F6"/>
    <w:rsid w:val="000B3E57"/>
    <w:rsid w:val="000C5EB2"/>
    <w:rsid w:val="000D10B5"/>
    <w:rsid w:val="000D2759"/>
    <w:rsid w:val="000D3F6F"/>
    <w:rsid w:val="000D6DC4"/>
    <w:rsid w:val="000E0870"/>
    <w:rsid w:val="000E0A34"/>
    <w:rsid w:val="000E1833"/>
    <w:rsid w:val="000E4999"/>
    <w:rsid w:val="000F053F"/>
    <w:rsid w:val="000F0782"/>
    <w:rsid w:val="000F0EE3"/>
    <w:rsid w:val="000F4BE1"/>
    <w:rsid w:val="000F605A"/>
    <w:rsid w:val="00111ABB"/>
    <w:rsid w:val="00112394"/>
    <w:rsid w:val="001128F3"/>
    <w:rsid w:val="001137C9"/>
    <w:rsid w:val="00123A9F"/>
    <w:rsid w:val="00123FFC"/>
    <w:rsid w:val="00124694"/>
    <w:rsid w:val="00126AC0"/>
    <w:rsid w:val="0013754D"/>
    <w:rsid w:val="0014352C"/>
    <w:rsid w:val="001506A6"/>
    <w:rsid w:val="001533DB"/>
    <w:rsid w:val="00153BD7"/>
    <w:rsid w:val="001549DE"/>
    <w:rsid w:val="00156AB4"/>
    <w:rsid w:val="00162B7B"/>
    <w:rsid w:val="00166C55"/>
    <w:rsid w:val="00181CCA"/>
    <w:rsid w:val="00184395"/>
    <w:rsid w:val="00186CF9"/>
    <w:rsid w:val="00191458"/>
    <w:rsid w:val="00191A8A"/>
    <w:rsid w:val="001A278E"/>
    <w:rsid w:val="001A2ED0"/>
    <w:rsid w:val="001A5F5A"/>
    <w:rsid w:val="001B2482"/>
    <w:rsid w:val="001B3CEF"/>
    <w:rsid w:val="001B694F"/>
    <w:rsid w:val="001B6995"/>
    <w:rsid w:val="001B7D55"/>
    <w:rsid w:val="001C0AAA"/>
    <w:rsid w:val="001C3E5E"/>
    <w:rsid w:val="001C5DCA"/>
    <w:rsid w:val="001D0C92"/>
    <w:rsid w:val="001D2AE3"/>
    <w:rsid w:val="001D375F"/>
    <w:rsid w:val="001D3CEB"/>
    <w:rsid w:val="001D5258"/>
    <w:rsid w:val="001E0032"/>
    <w:rsid w:val="001E1BE7"/>
    <w:rsid w:val="001E7601"/>
    <w:rsid w:val="001F0F15"/>
    <w:rsid w:val="001F1164"/>
    <w:rsid w:val="001F2BC3"/>
    <w:rsid w:val="001F4EC1"/>
    <w:rsid w:val="0020137F"/>
    <w:rsid w:val="00204864"/>
    <w:rsid w:val="002057EB"/>
    <w:rsid w:val="0020584F"/>
    <w:rsid w:val="0021313D"/>
    <w:rsid w:val="002139C7"/>
    <w:rsid w:val="00213EDC"/>
    <w:rsid w:val="002156B8"/>
    <w:rsid w:val="002158FE"/>
    <w:rsid w:val="00217A87"/>
    <w:rsid w:val="00224D8F"/>
    <w:rsid w:val="00224EB5"/>
    <w:rsid w:val="00225B3D"/>
    <w:rsid w:val="00230B76"/>
    <w:rsid w:val="002331AF"/>
    <w:rsid w:val="00234777"/>
    <w:rsid w:val="002460A7"/>
    <w:rsid w:val="0024714A"/>
    <w:rsid w:val="002544A5"/>
    <w:rsid w:val="002558A0"/>
    <w:rsid w:val="00256021"/>
    <w:rsid w:val="00257755"/>
    <w:rsid w:val="00257B3C"/>
    <w:rsid w:val="0026200B"/>
    <w:rsid w:val="00262353"/>
    <w:rsid w:val="002636BE"/>
    <w:rsid w:val="002638EB"/>
    <w:rsid w:val="00265372"/>
    <w:rsid w:val="002679AC"/>
    <w:rsid w:val="00273E5A"/>
    <w:rsid w:val="00274A16"/>
    <w:rsid w:val="00275B58"/>
    <w:rsid w:val="00281317"/>
    <w:rsid w:val="002822DE"/>
    <w:rsid w:val="00282601"/>
    <w:rsid w:val="0028304F"/>
    <w:rsid w:val="0028395C"/>
    <w:rsid w:val="002878D4"/>
    <w:rsid w:val="00290154"/>
    <w:rsid w:val="002947F7"/>
    <w:rsid w:val="002974BF"/>
    <w:rsid w:val="002A5254"/>
    <w:rsid w:val="002A75A6"/>
    <w:rsid w:val="002A7C9F"/>
    <w:rsid w:val="002B1D8A"/>
    <w:rsid w:val="002B3991"/>
    <w:rsid w:val="002B4CC0"/>
    <w:rsid w:val="002B62D7"/>
    <w:rsid w:val="002C0C31"/>
    <w:rsid w:val="002C41A8"/>
    <w:rsid w:val="002C4867"/>
    <w:rsid w:val="002D356B"/>
    <w:rsid w:val="002D50C8"/>
    <w:rsid w:val="002E4A07"/>
    <w:rsid w:val="002E5CF1"/>
    <w:rsid w:val="002F1D41"/>
    <w:rsid w:val="002F4AC6"/>
    <w:rsid w:val="002F7CB2"/>
    <w:rsid w:val="0030348F"/>
    <w:rsid w:val="00306FD2"/>
    <w:rsid w:val="003073BF"/>
    <w:rsid w:val="0031477F"/>
    <w:rsid w:val="0031552C"/>
    <w:rsid w:val="003162A5"/>
    <w:rsid w:val="00321122"/>
    <w:rsid w:val="00325082"/>
    <w:rsid w:val="00333500"/>
    <w:rsid w:val="00334B01"/>
    <w:rsid w:val="00341D2C"/>
    <w:rsid w:val="00344F94"/>
    <w:rsid w:val="003467F7"/>
    <w:rsid w:val="003516E8"/>
    <w:rsid w:val="00356B3A"/>
    <w:rsid w:val="00362FA9"/>
    <w:rsid w:val="00363320"/>
    <w:rsid w:val="00367A5B"/>
    <w:rsid w:val="0037038C"/>
    <w:rsid w:val="00371398"/>
    <w:rsid w:val="00375191"/>
    <w:rsid w:val="00375D83"/>
    <w:rsid w:val="0038174F"/>
    <w:rsid w:val="003852C4"/>
    <w:rsid w:val="003854B3"/>
    <w:rsid w:val="0039120D"/>
    <w:rsid w:val="00393755"/>
    <w:rsid w:val="003A78DC"/>
    <w:rsid w:val="003B1466"/>
    <w:rsid w:val="003B703E"/>
    <w:rsid w:val="003C0A4C"/>
    <w:rsid w:val="003C38EF"/>
    <w:rsid w:val="003C4C45"/>
    <w:rsid w:val="003D1524"/>
    <w:rsid w:val="003D25FF"/>
    <w:rsid w:val="003D45DD"/>
    <w:rsid w:val="003D7886"/>
    <w:rsid w:val="003E0735"/>
    <w:rsid w:val="003E68EA"/>
    <w:rsid w:val="003E7024"/>
    <w:rsid w:val="003E76E0"/>
    <w:rsid w:val="003F0190"/>
    <w:rsid w:val="003F50B7"/>
    <w:rsid w:val="003F590D"/>
    <w:rsid w:val="003F5C7B"/>
    <w:rsid w:val="003F6442"/>
    <w:rsid w:val="003F7942"/>
    <w:rsid w:val="00410C38"/>
    <w:rsid w:val="00414DC7"/>
    <w:rsid w:val="00417D27"/>
    <w:rsid w:val="004206B5"/>
    <w:rsid w:val="00421277"/>
    <w:rsid w:val="004261DC"/>
    <w:rsid w:val="004319F0"/>
    <w:rsid w:val="00432E52"/>
    <w:rsid w:val="004340B3"/>
    <w:rsid w:val="00440991"/>
    <w:rsid w:val="004417CE"/>
    <w:rsid w:val="00445D19"/>
    <w:rsid w:val="0045165E"/>
    <w:rsid w:val="00454CA1"/>
    <w:rsid w:val="00461A0A"/>
    <w:rsid w:val="0047368F"/>
    <w:rsid w:val="00476639"/>
    <w:rsid w:val="00480806"/>
    <w:rsid w:val="00481600"/>
    <w:rsid w:val="00482491"/>
    <w:rsid w:val="0048520E"/>
    <w:rsid w:val="004856E9"/>
    <w:rsid w:val="00487B29"/>
    <w:rsid w:val="00494ECC"/>
    <w:rsid w:val="0049510B"/>
    <w:rsid w:val="004A0468"/>
    <w:rsid w:val="004A4302"/>
    <w:rsid w:val="004A5E7A"/>
    <w:rsid w:val="004A6B2B"/>
    <w:rsid w:val="004B31E1"/>
    <w:rsid w:val="004C1AAE"/>
    <w:rsid w:val="004C4330"/>
    <w:rsid w:val="004C4923"/>
    <w:rsid w:val="004C4DE6"/>
    <w:rsid w:val="004C5DB4"/>
    <w:rsid w:val="004D0EBB"/>
    <w:rsid w:val="004D3811"/>
    <w:rsid w:val="004D68A9"/>
    <w:rsid w:val="004E5E73"/>
    <w:rsid w:val="004E6803"/>
    <w:rsid w:val="004E70CD"/>
    <w:rsid w:val="004F484A"/>
    <w:rsid w:val="004F57E9"/>
    <w:rsid w:val="005001B6"/>
    <w:rsid w:val="0051052A"/>
    <w:rsid w:val="005114DE"/>
    <w:rsid w:val="00513EF8"/>
    <w:rsid w:val="005153C8"/>
    <w:rsid w:val="00516EF5"/>
    <w:rsid w:val="005238D1"/>
    <w:rsid w:val="005301E8"/>
    <w:rsid w:val="005304F9"/>
    <w:rsid w:val="00537E41"/>
    <w:rsid w:val="00537F5D"/>
    <w:rsid w:val="00545694"/>
    <w:rsid w:val="00547778"/>
    <w:rsid w:val="00550614"/>
    <w:rsid w:val="00550800"/>
    <w:rsid w:val="00553BED"/>
    <w:rsid w:val="00556317"/>
    <w:rsid w:val="00560D08"/>
    <w:rsid w:val="005617A5"/>
    <w:rsid w:val="00564F25"/>
    <w:rsid w:val="00565886"/>
    <w:rsid w:val="00566AB8"/>
    <w:rsid w:val="0057006A"/>
    <w:rsid w:val="005721C3"/>
    <w:rsid w:val="005743FB"/>
    <w:rsid w:val="00576388"/>
    <w:rsid w:val="005767A0"/>
    <w:rsid w:val="0058458C"/>
    <w:rsid w:val="005846D1"/>
    <w:rsid w:val="00584B2E"/>
    <w:rsid w:val="00585B1D"/>
    <w:rsid w:val="00586368"/>
    <w:rsid w:val="00594E9C"/>
    <w:rsid w:val="00596912"/>
    <w:rsid w:val="005A02AA"/>
    <w:rsid w:val="005A41CE"/>
    <w:rsid w:val="005B1DF3"/>
    <w:rsid w:val="005C282D"/>
    <w:rsid w:val="005C42CC"/>
    <w:rsid w:val="005C5913"/>
    <w:rsid w:val="005C741E"/>
    <w:rsid w:val="005D3C24"/>
    <w:rsid w:val="005D4C6E"/>
    <w:rsid w:val="005D6670"/>
    <w:rsid w:val="005E06D7"/>
    <w:rsid w:val="005E16B3"/>
    <w:rsid w:val="005E4B72"/>
    <w:rsid w:val="005E4C05"/>
    <w:rsid w:val="005E7DEF"/>
    <w:rsid w:val="005F0D26"/>
    <w:rsid w:val="005F0E6C"/>
    <w:rsid w:val="005F7113"/>
    <w:rsid w:val="0060184C"/>
    <w:rsid w:val="00602D1C"/>
    <w:rsid w:val="00607945"/>
    <w:rsid w:val="0061170A"/>
    <w:rsid w:val="006119EA"/>
    <w:rsid w:val="00614777"/>
    <w:rsid w:val="0061491B"/>
    <w:rsid w:val="00615256"/>
    <w:rsid w:val="006160C6"/>
    <w:rsid w:val="006208C0"/>
    <w:rsid w:val="00630B68"/>
    <w:rsid w:val="006344BC"/>
    <w:rsid w:val="00635B45"/>
    <w:rsid w:val="00636F6F"/>
    <w:rsid w:val="006437B1"/>
    <w:rsid w:val="006453C8"/>
    <w:rsid w:val="006462DB"/>
    <w:rsid w:val="00647047"/>
    <w:rsid w:val="00650309"/>
    <w:rsid w:val="00653348"/>
    <w:rsid w:val="0066541A"/>
    <w:rsid w:val="00666333"/>
    <w:rsid w:val="0066728B"/>
    <w:rsid w:val="00670068"/>
    <w:rsid w:val="006729DD"/>
    <w:rsid w:val="00673D3B"/>
    <w:rsid w:val="006759B6"/>
    <w:rsid w:val="00675A0D"/>
    <w:rsid w:val="00675A10"/>
    <w:rsid w:val="00675F22"/>
    <w:rsid w:val="0067765C"/>
    <w:rsid w:val="006832F3"/>
    <w:rsid w:val="00686E28"/>
    <w:rsid w:val="006914F4"/>
    <w:rsid w:val="00691780"/>
    <w:rsid w:val="00694211"/>
    <w:rsid w:val="006949C4"/>
    <w:rsid w:val="006952E6"/>
    <w:rsid w:val="006A2538"/>
    <w:rsid w:val="006B6BB1"/>
    <w:rsid w:val="006C2614"/>
    <w:rsid w:val="006C5E8E"/>
    <w:rsid w:val="006C5F8F"/>
    <w:rsid w:val="006E012D"/>
    <w:rsid w:val="006F4D40"/>
    <w:rsid w:val="006F58BE"/>
    <w:rsid w:val="006F68CA"/>
    <w:rsid w:val="007037D2"/>
    <w:rsid w:val="007046A4"/>
    <w:rsid w:val="00712627"/>
    <w:rsid w:val="00716645"/>
    <w:rsid w:val="007207C7"/>
    <w:rsid w:val="0073317B"/>
    <w:rsid w:val="0073702A"/>
    <w:rsid w:val="00747588"/>
    <w:rsid w:val="007516E6"/>
    <w:rsid w:val="00751CCF"/>
    <w:rsid w:val="00757851"/>
    <w:rsid w:val="00760F2B"/>
    <w:rsid w:val="0076594A"/>
    <w:rsid w:val="0076616D"/>
    <w:rsid w:val="00766935"/>
    <w:rsid w:val="00770DCF"/>
    <w:rsid w:val="00774CEA"/>
    <w:rsid w:val="0077740E"/>
    <w:rsid w:val="00777830"/>
    <w:rsid w:val="00782004"/>
    <w:rsid w:val="00787A8A"/>
    <w:rsid w:val="00791B13"/>
    <w:rsid w:val="0079385F"/>
    <w:rsid w:val="00795D0D"/>
    <w:rsid w:val="00795E3E"/>
    <w:rsid w:val="007A1441"/>
    <w:rsid w:val="007B153B"/>
    <w:rsid w:val="007B2490"/>
    <w:rsid w:val="007B2579"/>
    <w:rsid w:val="007B3F77"/>
    <w:rsid w:val="007C1BE3"/>
    <w:rsid w:val="007C21D5"/>
    <w:rsid w:val="007C5D19"/>
    <w:rsid w:val="007C73EC"/>
    <w:rsid w:val="007C79F9"/>
    <w:rsid w:val="007D1FBF"/>
    <w:rsid w:val="007D2797"/>
    <w:rsid w:val="007D4ED6"/>
    <w:rsid w:val="007E19F3"/>
    <w:rsid w:val="007F2D67"/>
    <w:rsid w:val="007F3BFA"/>
    <w:rsid w:val="007F7982"/>
    <w:rsid w:val="007F7F2E"/>
    <w:rsid w:val="0080060B"/>
    <w:rsid w:val="008009E2"/>
    <w:rsid w:val="008019A2"/>
    <w:rsid w:val="00806468"/>
    <w:rsid w:val="00806EE8"/>
    <w:rsid w:val="00807D4A"/>
    <w:rsid w:val="00807E64"/>
    <w:rsid w:val="00813F0F"/>
    <w:rsid w:val="00821D19"/>
    <w:rsid w:val="00827F63"/>
    <w:rsid w:val="008302A6"/>
    <w:rsid w:val="0083174D"/>
    <w:rsid w:val="00833A9C"/>
    <w:rsid w:val="00833DA6"/>
    <w:rsid w:val="00835117"/>
    <w:rsid w:val="00841295"/>
    <w:rsid w:val="0084485F"/>
    <w:rsid w:val="00850EB2"/>
    <w:rsid w:val="00853CBD"/>
    <w:rsid w:val="00854932"/>
    <w:rsid w:val="00856339"/>
    <w:rsid w:val="008565F2"/>
    <w:rsid w:val="00857849"/>
    <w:rsid w:val="00864671"/>
    <w:rsid w:val="00875A53"/>
    <w:rsid w:val="00892120"/>
    <w:rsid w:val="00894BC4"/>
    <w:rsid w:val="008A036A"/>
    <w:rsid w:val="008A1104"/>
    <w:rsid w:val="008A5153"/>
    <w:rsid w:val="008B1A10"/>
    <w:rsid w:val="008B46A7"/>
    <w:rsid w:val="008B7A7B"/>
    <w:rsid w:val="008C2684"/>
    <w:rsid w:val="008C3559"/>
    <w:rsid w:val="008C5B0E"/>
    <w:rsid w:val="008E090E"/>
    <w:rsid w:val="008E10F2"/>
    <w:rsid w:val="008F745D"/>
    <w:rsid w:val="008F78A8"/>
    <w:rsid w:val="009037E1"/>
    <w:rsid w:val="00903E57"/>
    <w:rsid w:val="009072D5"/>
    <w:rsid w:val="00907BE6"/>
    <w:rsid w:val="0091435A"/>
    <w:rsid w:val="00916873"/>
    <w:rsid w:val="00921872"/>
    <w:rsid w:val="0092228E"/>
    <w:rsid w:val="00923B25"/>
    <w:rsid w:val="00924939"/>
    <w:rsid w:val="00931658"/>
    <w:rsid w:val="0093258F"/>
    <w:rsid w:val="00932AD0"/>
    <w:rsid w:val="0093333C"/>
    <w:rsid w:val="00934754"/>
    <w:rsid w:val="009369AC"/>
    <w:rsid w:val="009476EB"/>
    <w:rsid w:val="00954BFF"/>
    <w:rsid w:val="0095696C"/>
    <w:rsid w:val="00965B90"/>
    <w:rsid w:val="0097244D"/>
    <w:rsid w:val="00972D2F"/>
    <w:rsid w:val="009737F7"/>
    <w:rsid w:val="0097679F"/>
    <w:rsid w:val="0098179E"/>
    <w:rsid w:val="00983679"/>
    <w:rsid w:val="0099098D"/>
    <w:rsid w:val="0099165B"/>
    <w:rsid w:val="00995911"/>
    <w:rsid w:val="009A0F77"/>
    <w:rsid w:val="009A17F6"/>
    <w:rsid w:val="009A2137"/>
    <w:rsid w:val="009A6E55"/>
    <w:rsid w:val="009B1091"/>
    <w:rsid w:val="009B27E9"/>
    <w:rsid w:val="009B2C96"/>
    <w:rsid w:val="009B468D"/>
    <w:rsid w:val="009B50CD"/>
    <w:rsid w:val="009B5BA5"/>
    <w:rsid w:val="009C2713"/>
    <w:rsid w:val="009C70EA"/>
    <w:rsid w:val="009C7A7A"/>
    <w:rsid w:val="009D3AF9"/>
    <w:rsid w:val="009E175D"/>
    <w:rsid w:val="009E24B8"/>
    <w:rsid w:val="009E7541"/>
    <w:rsid w:val="009F109C"/>
    <w:rsid w:val="00A02AD0"/>
    <w:rsid w:val="00A06268"/>
    <w:rsid w:val="00A149EC"/>
    <w:rsid w:val="00A15F61"/>
    <w:rsid w:val="00A16255"/>
    <w:rsid w:val="00A16A01"/>
    <w:rsid w:val="00A219C5"/>
    <w:rsid w:val="00A223AF"/>
    <w:rsid w:val="00A270F8"/>
    <w:rsid w:val="00A324E4"/>
    <w:rsid w:val="00A40652"/>
    <w:rsid w:val="00A40896"/>
    <w:rsid w:val="00A43343"/>
    <w:rsid w:val="00A439D1"/>
    <w:rsid w:val="00A56389"/>
    <w:rsid w:val="00A63EFC"/>
    <w:rsid w:val="00A64D83"/>
    <w:rsid w:val="00A67F12"/>
    <w:rsid w:val="00A70329"/>
    <w:rsid w:val="00A71083"/>
    <w:rsid w:val="00A738E4"/>
    <w:rsid w:val="00A779AA"/>
    <w:rsid w:val="00A81E18"/>
    <w:rsid w:val="00A82A7D"/>
    <w:rsid w:val="00A84CA4"/>
    <w:rsid w:val="00A86CC4"/>
    <w:rsid w:val="00A87358"/>
    <w:rsid w:val="00A9003E"/>
    <w:rsid w:val="00A92F89"/>
    <w:rsid w:val="00AA055D"/>
    <w:rsid w:val="00AA40AF"/>
    <w:rsid w:val="00AA5809"/>
    <w:rsid w:val="00AB1E66"/>
    <w:rsid w:val="00AB256F"/>
    <w:rsid w:val="00AD1A62"/>
    <w:rsid w:val="00AD6ECB"/>
    <w:rsid w:val="00AF039F"/>
    <w:rsid w:val="00AF4F4F"/>
    <w:rsid w:val="00AF77F6"/>
    <w:rsid w:val="00B01612"/>
    <w:rsid w:val="00B04BE1"/>
    <w:rsid w:val="00B1081C"/>
    <w:rsid w:val="00B10E5D"/>
    <w:rsid w:val="00B165DB"/>
    <w:rsid w:val="00B16F78"/>
    <w:rsid w:val="00B21D9F"/>
    <w:rsid w:val="00B26773"/>
    <w:rsid w:val="00B26E06"/>
    <w:rsid w:val="00B2738B"/>
    <w:rsid w:val="00B33102"/>
    <w:rsid w:val="00B45140"/>
    <w:rsid w:val="00B50413"/>
    <w:rsid w:val="00B62729"/>
    <w:rsid w:val="00B636D5"/>
    <w:rsid w:val="00B70BE5"/>
    <w:rsid w:val="00B7211A"/>
    <w:rsid w:val="00B82B44"/>
    <w:rsid w:val="00B82D52"/>
    <w:rsid w:val="00B855AC"/>
    <w:rsid w:val="00B90840"/>
    <w:rsid w:val="00B90C64"/>
    <w:rsid w:val="00B92BF0"/>
    <w:rsid w:val="00B9757A"/>
    <w:rsid w:val="00BA3FDB"/>
    <w:rsid w:val="00BA4529"/>
    <w:rsid w:val="00BA63C5"/>
    <w:rsid w:val="00BA6461"/>
    <w:rsid w:val="00BA6E3E"/>
    <w:rsid w:val="00BB03A6"/>
    <w:rsid w:val="00BB4FFE"/>
    <w:rsid w:val="00BB6D39"/>
    <w:rsid w:val="00BC6830"/>
    <w:rsid w:val="00BC7028"/>
    <w:rsid w:val="00BD0304"/>
    <w:rsid w:val="00BD4AF9"/>
    <w:rsid w:val="00BD5E26"/>
    <w:rsid w:val="00BD6072"/>
    <w:rsid w:val="00BE33D2"/>
    <w:rsid w:val="00BE6ABE"/>
    <w:rsid w:val="00BF2C00"/>
    <w:rsid w:val="00BF4BC5"/>
    <w:rsid w:val="00BF4C38"/>
    <w:rsid w:val="00BF59D1"/>
    <w:rsid w:val="00BF60FB"/>
    <w:rsid w:val="00BF7A95"/>
    <w:rsid w:val="00C008C8"/>
    <w:rsid w:val="00C027E1"/>
    <w:rsid w:val="00C06C2F"/>
    <w:rsid w:val="00C1307F"/>
    <w:rsid w:val="00C137DD"/>
    <w:rsid w:val="00C13AAD"/>
    <w:rsid w:val="00C15EE2"/>
    <w:rsid w:val="00C17BBB"/>
    <w:rsid w:val="00C3261F"/>
    <w:rsid w:val="00C362D1"/>
    <w:rsid w:val="00C36CB6"/>
    <w:rsid w:val="00C373CC"/>
    <w:rsid w:val="00C37B44"/>
    <w:rsid w:val="00C4239E"/>
    <w:rsid w:val="00C42C44"/>
    <w:rsid w:val="00C44B2B"/>
    <w:rsid w:val="00C54F00"/>
    <w:rsid w:val="00C57245"/>
    <w:rsid w:val="00C600DB"/>
    <w:rsid w:val="00C60ABB"/>
    <w:rsid w:val="00C663D0"/>
    <w:rsid w:val="00C74157"/>
    <w:rsid w:val="00C75581"/>
    <w:rsid w:val="00C83B1C"/>
    <w:rsid w:val="00C86E58"/>
    <w:rsid w:val="00C956E8"/>
    <w:rsid w:val="00C96A03"/>
    <w:rsid w:val="00C97242"/>
    <w:rsid w:val="00CA05D0"/>
    <w:rsid w:val="00CA3978"/>
    <w:rsid w:val="00CB1459"/>
    <w:rsid w:val="00CB2937"/>
    <w:rsid w:val="00CB67D5"/>
    <w:rsid w:val="00CC05C8"/>
    <w:rsid w:val="00CC6525"/>
    <w:rsid w:val="00CC784A"/>
    <w:rsid w:val="00CC7DEA"/>
    <w:rsid w:val="00CD1D89"/>
    <w:rsid w:val="00CD2439"/>
    <w:rsid w:val="00CD4746"/>
    <w:rsid w:val="00CD7436"/>
    <w:rsid w:val="00CE0FF6"/>
    <w:rsid w:val="00CF7BDD"/>
    <w:rsid w:val="00D04BCA"/>
    <w:rsid w:val="00D169AC"/>
    <w:rsid w:val="00D20F93"/>
    <w:rsid w:val="00D21330"/>
    <w:rsid w:val="00D2322D"/>
    <w:rsid w:val="00D26B7B"/>
    <w:rsid w:val="00D31833"/>
    <w:rsid w:val="00D401D1"/>
    <w:rsid w:val="00D42436"/>
    <w:rsid w:val="00D43788"/>
    <w:rsid w:val="00D5343B"/>
    <w:rsid w:val="00D55055"/>
    <w:rsid w:val="00D70574"/>
    <w:rsid w:val="00D70EAC"/>
    <w:rsid w:val="00D71D0C"/>
    <w:rsid w:val="00D732EB"/>
    <w:rsid w:val="00D750A3"/>
    <w:rsid w:val="00D84F33"/>
    <w:rsid w:val="00D86B4E"/>
    <w:rsid w:val="00D87F40"/>
    <w:rsid w:val="00D91E29"/>
    <w:rsid w:val="00DA24C0"/>
    <w:rsid w:val="00DC0585"/>
    <w:rsid w:val="00DD1E26"/>
    <w:rsid w:val="00DD51E9"/>
    <w:rsid w:val="00DE1BA5"/>
    <w:rsid w:val="00DE69D1"/>
    <w:rsid w:val="00DF1550"/>
    <w:rsid w:val="00DF453D"/>
    <w:rsid w:val="00DF4751"/>
    <w:rsid w:val="00E0011B"/>
    <w:rsid w:val="00E0032B"/>
    <w:rsid w:val="00E02541"/>
    <w:rsid w:val="00E03804"/>
    <w:rsid w:val="00E0693C"/>
    <w:rsid w:val="00E11034"/>
    <w:rsid w:val="00E12027"/>
    <w:rsid w:val="00E14FE6"/>
    <w:rsid w:val="00E1733A"/>
    <w:rsid w:val="00E239BE"/>
    <w:rsid w:val="00E24BD1"/>
    <w:rsid w:val="00E31146"/>
    <w:rsid w:val="00E35B56"/>
    <w:rsid w:val="00E35E95"/>
    <w:rsid w:val="00E368BE"/>
    <w:rsid w:val="00E422CC"/>
    <w:rsid w:val="00E4406A"/>
    <w:rsid w:val="00E45E5A"/>
    <w:rsid w:val="00E46116"/>
    <w:rsid w:val="00E5436C"/>
    <w:rsid w:val="00E55023"/>
    <w:rsid w:val="00E63734"/>
    <w:rsid w:val="00E63FE3"/>
    <w:rsid w:val="00E6503B"/>
    <w:rsid w:val="00E7251C"/>
    <w:rsid w:val="00E732BE"/>
    <w:rsid w:val="00E76971"/>
    <w:rsid w:val="00E7742D"/>
    <w:rsid w:val="00E96DFC"/>
    <w:rsid w:val="00E970D9"/>
    <w:rsid w:val="00EA362D"/>
    <w:rsid w:val="00EA740F"/>
    <w:rsid w:val="00EB18C5"/>
    <w:rsid w:val="00EB4479"/>
    <w:rsid w:val="00EB7328"/>
    <w:rsid w:val="00EB73D8"/>
    <w:rsid w:val="00EC33EC"/>
    <w:rsid w:val="00ED275D"/>
    <w:rsid w:val="00ED39A4"/>
    <w:rsid w:val="00ED6C5F"/>
    <w:rsid w:val="00ED714C"/>
    <w:rsid w:val="00EE35F5"/>
    <w:rsid w:val="00EE3704"/>
    <w:rsid w:val="00EE37F4"/>
    <w:rsid w:val="00EF1CF2"/>
    <w:rsid w:val="00EF597C"/>
    <w:rsid w:val="00F0130C"/>
    <w:rsid w:val="00F01EB9"/>
    <w:rsid w:val="00F05619"/>
    <w:rsid w:val="00F10B00"/>
    <w:rsid w:val="00F111AC"/>
    <w:rsid w:val="00F14D32"/>
    <w:rsid w:val="00F27578"/>
    <w:rsid w:val="00F411F1"/>
    <w:rsid w:val="00F45153"/>
    <w:rsid w:val="00F528B9"/>
    <w:rsid w:val="00F53906"/>
    <w:rsid w:val="00F57F33"/>
    <w:rsid w:val="00F610AD"/>
    <w:rsid w:val="00F67E6F"/>
    <w:rsid w:val="00F70825"/>
    <w:rsid w:val="00F73490"/>
    <w:rsid w:val="00F74630"/>
    <w:rsid w:val="00F80FBB"/>
    <w:rsid w:val="00F92555"/>
    <w:rsid w:val="00F96482"/>
    <w:rsid w:val="00FA19CC"/>
    <w:rsid w:val="00FA23E9"/>
    <w:rsid w:val="00FA6051"/>
    <w:rsid w:val="00FB2E89"/>
    <w:rsid w:val="00FB5626"/>
    <w:rsid w:val="00FC19AB"/>
    <w:rsid w:val="00FC324A"/>
    <w:rsid w:val="00FC371C"/>
    <w:rsid w:val="00FC43E5"/>
    <w:rsid w:val="00FC5686"/>
    <w:rsid w:val="00FD5173"/>
    <w:rsid w:val="00FE0950"/>
    <w:rsid w:val="00FE0C82"/>
    <w:rsid w:val="00FE316B"/>
    <w:rsid w:val="00FE45E9"/>
    <w:rsid w:val="00FE4FF4"/>
    <w:rsid w:val="00FE60AC"/>
    <w:rsid w:val="00FE6CC1"/>
    <w:rsid w:val="00FE75E7"/>
    <w:rsid w:val="00FF65A2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AB31"/>
  <w15:docId w15:val="{3448C230-4CD7-4740-8AD3-8106CF94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85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List Paragraph,Odstavec cíl se seznamem,Odstavec se seznamem5"/>
    <w:basedOn w:val="Normln"/>
    <w:link w:val="OdstavecseseznamemChar"/>
    <w:uiPriority w:val="34"/>
    <w:qFormat/>
    <w:rsid w:val="00494EC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514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514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45140"/>
    <w:rPr>
      <w:vertAlign w:val="superscript"/>
    </w:rPr>
  </w:style>
  <w:style w:type="paragraph" w:customStyle="1" w:styleId="Default">
    <w:name w:val="Default"/>
    <w:rsid w:val="00153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23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3F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3F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3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3FF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F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F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_muj Char,List Paragraph Char,Odstavec cíl se seznamem Char,Odstavec se seznamem5 Char"/>
    <w:basedOn w:val="Standardnpsmoodstavce"/>
    <w:link w:val="Odstavecseseznamem"/>
    <w:uiPriority w:val="34"/>
    <w:locked/>
    <w:rsid w:val="002B62D7"/>
  </w:style>
  <w:style w:type="character" w:styleId="Hypertextovodkaz">
    <w:name w:val="Hyperlink"/>
    <w:basedOn w:val="Standardnpsmoodstavce"/>
    <w:uiPriority w:val="99"/>
    <w:unhideWhenUsed/>
    <w:rsid w:val="00E55023"/>
    <w:rPr>
      <w:color w:val="333333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B562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6537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65372"/>
    <w:rPr>
      <w:color w:val="800080" w:themeColor="followedHyperlink"/>
      <w:u w:val="single"/>
    </w:rPr>
  </w:style>
  <w:style w:type="character" w:customStyle="1" w:styleId="normaltextrun">
    <w:name w:val="normaltextrun"/>
    <w:basedOn w:val="Standardnpsmoodstavce"/>
    <w:rsid w:val="00C96A03"/>
  </w:style>
  <w:style w:type="paragraph" w:customStyle="1" w:styleId="paragraph">
    <w:name w:val="paragraph"/>
    <w:basedOn w:val="Normln"/>
    <w:rsid w:val="009B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9B50CD"/>
  </w:style>
  <w:style w:type="character" w:customStyle="1" w:styleId="spellingerror">
    <w:name w:val="spellingerror"/>
    <w:basedOn w:val="Standardnpsmoodstavce"/>
    <w:rsid w:val="009B50CD"/>
  </w:style>
  <w:style w:type="character" w:customStyle="1" w:styleId="contextualspellingandgrammarerror">
    <w:name w:val="contextualspellingandgrammarerror"/>
    <w:basedOn w:val="Standardnpsmoodstavce"/>
    <w:rsid w:val="00FE45E9"/>
  </w:style>
  <w:style w:type="paragraph" w:styleId="Revize">
    <w:name w:val="Revision"/>
    <w:hidden/>
    <w:uiPriority w:val="99"/>
    <w:semiHidden/>
    <w:rsid w:val="00C06C2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3854B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B306-4D17-4450-AF4B-BF0A280D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1836</TotalTime>
  <Pages>3</Pages>
  <Words>1351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Krátká Jana</dc:creator>
  <cp:keywords/>
  <dc:description/>
  <cp:lastModifiedBy>Vdolečková Dagmar</cp:lastModifiedBy>
  <cp:revision>17</cp:revision>
  <cp:lastPrinted>2022-05-24T10:25:00Z</cp:lastPrinted>
  <dcterms:created xsi:type="dcterms:W3CDTF">2025-08-08T06:33:00Z</dcterms:created>
  <dcterms:modified xsi:type="dcterms:W3CDTF">2025-09-01T09:48:00Z</dcterms:modified>
</cp:coreProperties>
</file>