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508B" w14:textId="77777777" w:rsidR="00CB6370" w:rsidRPr="0054431E" w:rsidRDefault="00CB6370" w:rsidP="00CB6370">
      <w:pPr>
        <w:jc w:val="both"/>
        <w:rPr>
          <w:rFonts w:ascii="Arial" w:hAnsi="Arial" w:cs="Arial"/>
          <w:b/>
        </w:rPr>
      </w:pPr>
      <w:bookmarkStart w:id="0" w:name="_Hlk133323523"/>
      <w:bookmarkStart w:id="1" w:name="_Hlk160023463"/>
      <w:r w:rsidRPr="0054431E">
        <w:rPr>
          <w:rFonts w:ascii="Arial" w:hAnsi="Arial" w:cs="Arial"/>
          <w:b/>
        </w:rPr>
        <w:t>DŮVODOVÁ ZPRÁVA</w:t>
      </w:r>
    </w:p>
    <w:p w14:paraId="1616B619" w14:textId="77777777" w:rsidR="00CB6370" w:rsidRPr="0054431E" w:rsidRDefault="00CB6370" w:rsidP="00CB6370">
      <w:pPr>
        <w:spacing w:after="240"/>
        <w:jc w:val="both"/>
        <w:rPr>
          <w:rFonts w:ascii="Arial" w:hAnsi="Arial" w:cs="Arial"/>
        </w:rPr>
      </w:pPr>
      <w:r w:rsidRPr="0054431E">
        <w:rPr>
          <w:rFonts w:ascii="Arial" w:hAnsi="Arial" w:cs="Arial"/>
        </w:rPr>
        <w:t xml:space="preserve">Orgánům města je předkládán návrh </w:t>
      </w:r>
      <w:bookmarkEnd w:id="0"/>
      <w:r w:rsidRPr="0054431E">
        <w:rPr>
          <w:rFonts w:ascii="Arial" w:hAnsi="Arial" w:cs="Arial"/>
        </w:rPr>
        <w:t xml:space="preserve">na </w:t>
      </w:r>
      <w:r w:rsidRPr="0054431E">
        <w:rPr>
          <w:rFonts w:ascii="Arial" w:hAnsi="Arial" w:cs="Arial"/>
          <w:b/>
          <w:bCs/>
        </w:rPr>
        <w:t xml:space="preserve">vyhlášení </w:t>
      </w:r>
      <w:r w:rsidRPr="0054431E">
        <w:rPr>
          <w:rFonts w:ascii="Arial" w:hAnsi="Arial" w:cs="Arial"/>
        </w:rPr>
        <w:t>druhého ročníku</w:t>
      </w:r>
      <w:r w:rsidRPr="0054431E">
        <w:rPr>
          <w:rFonts w:ascii="Arial" w:hAnsi="Arial" w:cs="Arial"/>
          <w:b/>
          <w:bCs/>
        </w:rPr>
        <w:t xml:space="preserve"> dotačního programu na rozjezd podnikání v Ostravě</w:t>
      </w:r>
      <w:r w:rsidRPr="0054431E">
        <w:rPr>
          <w:rFonts w:ascii="Arial" w:hAnsi="Arial" w:cs="Arial"/>
        </w:rPr>
        <w:t>.</w:t>
      </w:r>
    </w:p>
    <w:p w14:paraId="00548925" w14:textId="77777777" w:rsidR="00CB6370" w:rsidRPr="0054431E" w:rsidRDefault="00CB6370" w:rsidP="00CB6370">
      <w:pPr>
        <w:spacing w:after="240"/>
        <w:jc w:val="both"/>
        <w:rPr>
          <w:rFonts w:ascii="Arial" w:hAnsi="Arial" w:cs="Arial"/>
        </w:rPr>
      </w:pPr>
      <w:r w:rsidRPr="0054431E">
        <w:rPr>
          <w:rFonts w:ascii="Arial" w:hAnsi="Arial" w:cs="Arial"/>
        </w:rPr>
        <w:t>Program je vyhlašován za účelem podpory podnikání na území statutárního města Ostravy, oživení podmínek pro rozjezd podnikání a</w:t>
      </w:r>
      <w:r w:rsidRPr="0054431E">
        <w:rPr>
          <w:rFonts w:ascii="Arial" w:hAnsi="Arial" w:cs="Arial"/>
          <w:b/>
          <w:bCs/>
        </w:rPr>
        <w:t xml:space="preserve"> rozvoje podnikatelského prostředí</w:t>
      </w:r>
      <w:r w:rsidRPr="0054431E">
        <w:rPr>
          <w:rFonts w:ascii="Arial" w:hAnsi="Arial" w:cs="Arial"/>
        </w:rPr>
        <w:t xml:space="preserve"> v Ostravě. Cílem programu je podpořit podnikatele, přispět ke zvýšení kvality výrobků a služeb nabízených ostravskými podnikateli, a tím ke </w:t>
      </w:r>
      <w:r w:rsidRPr="0054431E">
        <w:rPr>
          <w:rFonts w:ascii="Arial" w:hAnsi="Arial" w:cs="Arial"/>
          <w:b/>
          <w:bCs/>
        </w:rPr>
        <w:t>zvýšení kvality života ve městě</w:t>
      </w:r>
      <w:r w:rsidRPr="0054431E">
        <w:rPr>
          <w:rFonts w:ascii="Arial" w:hAnsi="Arial" w:cs="Arial"/>
        </w:rPr>
        <w:t xml:space="preserve"> a lepšímu image města. Součástí podporovaných projektů bude </w:t>
      </w:r>
      <w:r w:rsidRPr="0054431E">
        <w:rPr>
          <w:rFonts w:ascii="Arial" w:hAnsi="Arial" w:cs="Arial"/>
          <w:b/>
          <w:bCs/>
        </w:rPr>
        <w:t>podpora inovací v podnikání a nových technologií</w:t>
      </w:r>
      <w:r w:rsidRPr="0054431E">
        <w:rPr>
          <w:rFonts w:ascii="Arial" w:hAnsi="Arial" w:cs="Arial"/>
        </w:rPr>
        <w:t>. Projekty budou založeny na konzultacích, mentoringu a přípravě podnikatelských plánů.</w:t>
      </w:r>
    </w:p>
    <w:p w14:paraId="461DFC6D" w14:textId="77777777" w:rsidR="00CB6370" w:rsidRPr="0054431E" w:rsidRDefault="00CB6370" w:rsidP="00CB6370">
      <w:pPr>
        <w:spacing w:after="240"/>
        <w:jc w:val="both"/>
        <w:rPr>
          <w:rFonts w:ascii="Arial" w:hAnsi="Arial" w:cs="Arial"/>
        </w:rPr>
      </w:pPr>
      <w:r w:rsidRPr="0054431E">
        <w:rPr>
          <w:rFonts w:ascii="Arial" w:hAnsi="Arial" w:cs="Arial"/>
        </w:rPr>
        <w:t xml:space="preserve">Druhý ročník programu naváže na první běh, který byl zahájen v říjnu 2024 a bude realizován do září 2025. Již nyní se potvrdilo, že se </w:t>
      </w:r>
      <w:r w:rsidRPr="0054431E">
        <w:rPr>
          <w:rFonts w:ascii="Arial" w:hAnsi="Arial" w:cs="Arial"/>
          <w:b/>
          <w:bCs/>
        </w:rPr>
        <w:t>podpora podnikání setkává se zájmem</w:t>
      </w:r>
      <w:r w:rsidRPr="0054431E">
        <w:rPr>
          <w:rFonts w:ascii="Arial" w:hAnsi="Arial" w:cs="Arial"/>
        </w:rPr>
        <w:t>, což přispívá k </w:t>
      </w:r>
      <w:r w:rsidRPr="0054431E">
        <w:rPr>
          <w:rFonts w:ascii="Arial" w:hAnsi="Arial" w:cs="Arial"/>
          <w:b/>
          <w:bCs/>
        </w:rPr>
        <w:t>šíření dobrého jména Ostravy</w:t>
      </w:r>
      <w:r w:rsidRPr="0054431E">
        <w:rPr>
          <w:rFonts w:ascii="Arial" w:hAnsi="Arial" w:cs="Arial"/>
        </w:rPr>
        <w:t xml:space="preserve"> jako </w:t>
      </w:r>
      <w:r w:rsidRPr="0054431E">
        <w:rPr>
          <w:rFonts w:ascii="Arial" w:hAnsi="Arial" w:cs="Arial"/>
          <w:b/>
          <w:bCs/>
        </w:rPr>
        <w:t>místa pro úspěšné podnikání a kvalitní život</w:t>
      </w:r>
      <w:r w:rsidRPr="0054431E">
        <w:rPr>
          <w:rFonts w:ascii="Arial" w:hAnsi="Arial" w:cs="Arial"/>
        </w:rPr>
        <w:t>. V prvním ročníku byla dotace poskytnuta třem příjemcům, kteří do svých projektů přijali více než tři desítky účastníků, jimiž jsou drobní podnikatelé, živnostníci a firmy v oblasti řemeslného a technicky inovativního businessu. Mezi přijatými účastníky se nachází např. řemeslníci zaměření na práci se dřevem, kombinaci dřeva a jiných materiálů s důrazem na design a funkčnost, orientovaní na zakázkovou výrobu oděvů a oděvních doplňků anebo brašnářských výrobků, na rukodělnou transformaci starých lžiček na šperky, ale také na implementaci nejnovějších technologií do renovace veteránů (historických vozidel), drobní podnikatelé provozující kavárnu, vinárnu, bistro, nabízející catering anebo provozující pekařství s domácí výrobou pečiva ad.</w:t>
      </w:r>
    </w:p>
    <w:p w14:paraId="01B308C5" w14:textId="32A73C02" w:rsidR="004F2C2F" w:rsidRPr="004F2C2F" w:rsidRDefault="004F2C2F" w:rsidP="004F2C2F">
      <w:pPr>
        <w:spacing w:after="240"/>
        <w:jc w:val="both"/>
        <w:rPr>
          <w:rFonts w:ascii="Arial" w:hAnsi="Arial" w:cs="Arial"/>
        </w:rPr>
      </w:pPr>
      <w:r w:rsidRPr="004F2C2F">
        <w:rPr>
          <w:rFonts w:ascii="Arial" w:hAnsi="Arial" w:cs="Arial"/>
        </w:rPr>
        <w:t>Projekty podpořeny v prvním ročníku dotačního programu, včetně odůvodnění odborné komise:</w:t>
      </w:r>
    </w:p>
    <w:p w14:paraId="65DFF22F" w14:textId="77777777" w:rsidR="004F2C2F" w:rsidRPr="004F2C2F" w:rsidRDefault="004F2C2F" w:rsidP="004F2C2F">
      <w:pPr>
        <w:spacing w:after="0"/>
        <w:jc w:val="both"/>
        <w:rPr>
          <w:rFonts w:ascii="Arial" w:hAnsi="Arial" w:cs="Arial"/>
          <w:b/>
          <w:bCs/>
        </w:rPr>
      </w:pPr>
      <w:r w:rsidRPr="004F2C2F">
        <w:rPr>
          <w:rFonts w:ascii="Arial" w:hAnsi="Arial" w:cs="Arial"/>
          <w:b/>
          <w:bCs/>
        </w:rPr>
        <w:t>1) RegioHub, s. r. o. – Řemeslný akcelerátor 2 - podpořena žádost ve výši 1 275 000,- Kč.</w:t>
      </w:r>
    </w:p>
    <w:p w14:paraId="48923838" w14:textId="19CC8B52" w:rsidR="004F2C2F" w:rsidRPr="004F2C2F" w:rsidRDefault="004F2C2F" w:rsidP="004F2C2F">
      <w:pPr>
        <w:spacing w:after="240"/>
        <w:jc w:val="both"/>
        <w:rPr>
          <w:rFonts w:ascii="Arial" w:hAnsi="Arial" w:cs="Arial"/>
        </w:rPr>
      </w:pPr>
      <w:r w:rsidRPr="004F2C2F">
        <w:rPr>
          <w:rFonts w:ascii="Arial" w:hAnsi="Arial" w:cs="Arial"/>
        </w:rPr>
        <w:t xml:space="preserve">- Kvalitní a široká síť odborníků, komplexně zpracovaná žádost, využití řemeslných dílen a technologií, zkušenosti, konkrétní výsledky </w:t>
      </w:r>
      <w:r>
        <w:rPr>
          <w:rFonts w:ascii="Arial" w:hAnsi="Arial" w:cs="Arial"/>
        </w:rPr>
        <w:t>z</w:t>
      </w:r>
      <w:r w:rsidRPr="004F2C2F">
        <w:rPr>
          <w:rFonts w:ascii="Arial" w:hAnsi="Arial" w:cs="Arial"/>
        </w:rPr>
        <w:t xml:space="preserve"> pilotního běhu programu, optimální počet účastníků, zázemí Impact Hubu, udržitelnost, řemeslný příklon.</w:t>
      </w:r>
      <w:r w:rsidR="00D807F6">
        <w:rPr>
          <w:rFonts w:ascii="Arial" w:hAnsi="Arial" w:cs="Arial"/>
        </w:rPr>
        <w:t xml:space="preserve"> </w:t>
      </w:r>
      <w:r w:rsidR="00D807F6">
        <w:rPr>
          <w:rFonts w:ascii="Arial" w:hAnsi="Arial" w:cs="Arial"/>
        </w:rPr>
        <w:t>Cílový počet absolventů projektu: 1</w:t>
      </w:r>
      <w:r w:rsidR="00D807F6">
        <w:rPr>
          <w:rFonts w:ascii="Arial" w:hAnsi="Arial" w:cs="Arial"/>
        </w:rPr>
        <w:t>3</w:t>
      </w:r>
      <w:r w:rsidR="00D807F6">
        <w:rPr>
          <w:rFonts w:ascii="Arial" w:hAnsi="Arial" w:cs="Arial"/>
        </w:rPr>
        <w:t>.</w:t>
      </w:r>
    </w:p>
    <w:p w14:paraId="00AA8B5C" w14:textId="53AA4847" w:rsidR="004F2C2F" w:rsidRPr="004F2C2F" w:rsidRDefault="004F2C2F" w:rsidP="004F2C2F">
      <w:pPr>
        <w:spacing w:after="0"/>
        <w:jc w:val="both"/>
        <w:rPr>
          <w:rFonts w:ascii="Arial" w:hAnsi="Arial" w:cs="Arial"/>
          <w:b/>
          <w:bCs/>
        </w:rPr>
      </w:pPr>
      <w:r w:rsidRPr="004F2C2F">
        <w:rPr>
          <w:rFonts w:ascii="Arial" w:hAnsi="Arial" w:cs="Arial"/>
          <w:b/>
          <w:bCs/>
        </w:rPr>
        <w:t xml:space="preserve"> 2) Pro Dara bags, s. r. o. – Podpora podnikání v textilní výrobě a oděvnictví v Ostravě - podpořena žádost ve výši 497 000,- Kč.</w:t>
      </w:r>
    </w:p>
    <w:p w14:paraId="04B9C3DF" w14:textId="255AE710" w:rsidR="004F2C2F" w:rsidRPr="004F2C2F" w:rsidRDefault="004F2C2F" w:rsidP="004F2C2F">
      <w:pPr>
        <w:spacing w:after="240"/>
        <w:jc w:val="both"/>
        <w:rPr>
          <w:rFonts w:ascii="Arial" w:hAnsi="Arial" w:cs="Arial"/>
        </w:rPr>
      </w:pPr>
      <w:r w:rsidRPr="004F2C2F">
        <w:rPr>
          <w:rFonts w:ascii="Arial" w:hAnsi="Arial" w:cs="Arial"/>
        </w:rPr>
        <w:t>- Zkušenosti v oboru, využití nových technologií a recyklace, úzké zaměření, intenzivní harmonogram, reálně nastavené náklady, udržitelnost, podpora talentů v Ostravě.</w:t>
      </w:r>
      <w:r w:rsidR="00D807F6">
        <w:rPr>
          <w:rFonts w:ascii="Arial" w:hAnsi="Arial" w:cs="Arial"/>
        </w:rPr>
        <w:t xml:space="preserve"> </w:t>
      </w:r>
      <w:r w:rsidR="00D807F6">
        <w:rPr>
          <w:rFonts w:ascii="Arial" w:hAnsi="Arial" w:cs="Arial"/>
        </w:rPr>
        <w:t>Cílový počet absolventů projektu: 10.</w:t>
      </w:r>
      <w:r w:rsidRPr="004F2C2F">
        <w:rPr>
          <w:rFonts w:ascii="Arial" w:hAnsi="Arial" w:cs="Arial"/>
        </w:rPr>
        <w:t xml:space="preserve"> </w:t>
      </w:r>
    </w:p>
    <w:p w14:paraId="51D3328B" w14:textId="77777777" w:rsidR="004F2C2F" w:rsidRPr="004F2C2F" w:rsidRDefault="004F2C2F" w:rsidP="004F2C2F">
      <w:pPr>
        <w:spacing w:after="0"/>
        <w:jc w:val="both"/>
        <w:rPr>
          <w:rFonts w:ascii="Arial" w:hAnsi="Arial" w:cs="Arial"/>
          <w:b/>
          <w:bCs/>
        </w:rPr>
      </w:pPr>
      <w:r w:rsidRPr="004F2C2F">
        <w:rPr>
          <w:rFonts w:ascii="Arial" w:hAnsi="Arial" w:cs="Arial"/>
          <w:b/>
          <w:bCs/>
        </w:rPr>
        <w:t>3) Valory, s. r. o. – Podpora gastro projektů - podpořena žádost ve výši 1 200 000,- Kč.</w:t>
      </w:r>
    </w:p>
    <w:p w14:paraId="2192F0FC" w14:textId="6D3D8560" w:rsidR="004F2C2F" w:rsidRDefault="004F2C2F" w:rsidP="004F2C2F">
      <w:pPr>
        <w:spacing w:after="240"/>
        <w:jc w:val="both"/>
        <w:rPr>
          <w:rFonts w:ascii="Arial" w:hAnsi="Arial" w:cs="Arial"/>
        </w:rPr>
      </w:pPr>
      <w:r w:rsidRPr="004F2C2F">
        <w:rPr>
          <w:rFonts w:ascii="Arial" w:hAnsi="Arial" w:cs="Arial"/>
        </w:rPr>
        <w:t>- Projektový záměr s přínosem pro Ostravu, ideálně rozvržený rozpočet, kvalitně sepsaný projekt, kvalitně zpracována otázka PR a marketingu, hodnotným aspektem je pomoc potenciálním majitelům a provozovatelům nových gastro podniků s potřebným know-how pro rozjezd podnikání, vize zřízení sdílené kuchyně pro udržitelnost projektu.</w:t>
      </w:r>
      <w:r w:rsidR="00D807F6">
        <w:rPr>
          <w:rFonts w:ascii="Arial" w:hAnsi="Arial" w:cs="Arial"/>
        </w:rPr>
        <w:t xml:space="preserve"> </w:t>
      </w:r>
      <w:r w:rsidR="00D807F6">
        <w:rPr>
          <w:rFonts w:ascii="Arial" w:hAnsi="Arial" w:cs="Arial"/>
        </w:rPr>
        <w:t>Cílový počet absolventů projektu: 10.</w:t>
      </w:r>
    </w:p>
    <w:p w14:paraId="0769ACFB" w14:textId="0726DBFD" w:rsidR="00CB6370" w:rsidRPr="0054431E" w:rsidRDefault="00CB6370" w:rsidP="00CB6370">
      <w:pPr>
        <w:spacing w:after="240"/>
        <w:jc w:val="both"/>
        <w:rPr>
          <w:rFonts w:ascii="Arial" w:hAnsi="Arial" w:cs="Arial"/>
        </w:rPr>
      </w:pPr>
      <w:r w:rsidRPr="0054431E">
        <w:rPr>
          <w:rFonts w:ascii="Arial" w:hAnsi="Arial" w:cs="Arial"/>
        </w:rPr>
        <w:lastRenderedPageBreak/>
        <w:t xml:space="preserve">Několik drobných podnikatelů, kteří se účastní projektů podporovaných v prvním běhu, bylo zapojením se do dotačního programu motivováno k přehlášení sídla podnikání do Ostravy, což je pro město nepochybně přínosem a zároveň to naplňuje cíle Strategického plánu rozvoje města v oblasti podpory podnikání. Objektivní vyhodnocení prvního ročníku (naplnění KPI – ukazatelů úspěchu) není možné provést před ukončením běžících projektů (září 2025). V únoru 2025 nicméně proběhlo dotazníkové zjišťování zpětné vazby k rozjíždějícím se projektům. Dotazníkové šetření provedl odbor strategického rozvoje Magistrátu města Ostravy u příjemců dotace i jednotlivých účastníků programu, včetně osobních setkání. </w:t>
      </w:r>
      <w:r w:rsidRPr="0054431E">
        <w:rPr>
          <w:rFonts w:ascii="Arial" w:hAnsi="Arial" w:cs="Arial"/>
          <w:b/>
          <w:bCs/>
        </w:rPr>
        <w:t>Příjemci i uchazeči hodnotí doposud nastavení i kvalitu projektů velmi pozitivně, včetně podmínek dotačního programu.</w:t>
      </w:r>
      <w:r>
        <w:rPr>
          <w:rFonts w:ascii="Arial" w:hAnsi="Arial" w:cs="Arial"/>
        </w:rPr>
        <w:t xml:space="preserve"> </w:t>
      </w:r>
      <w:r w:rsidRPr="0054431E">
        <w:rPr>
          <w:rFonts w:ascii="Arial" w:hAnsi="Arial" w:cs="Arial"/>
        </w:rPr>
        <w:t xml:space="preserve">Existuje také řada začínajících podnikatelů, kteří se z kapacitních důvodů již nemohli zúčastnit některého z běžících projektů. V Ostravě také roste počet potenciálních žadatelů, kteří by mohli být vhodnými realizátory těchto projektů a kteří budou v případě vyhlášení dalšího ročníku o tomto dotačním programu aktivně informováni. </w:t>
      </w:r>
      <w:r w:rsidRPr="0054431E">
        <w:rPr>
          <w:rFonts w:ascii="Arial" w:hAnsi="Arial" w:cs="Arial"/>
          <w:b/>
          <w:bCs/>
        </w:rPr>
        <w:t>Z těchto důvodů odbor strategického rozvoje navrhuje pokračovat v realizaci dotačního programu vyhlášením druhého ročníku.</w:t>
      </w:r>
    </w:p>
    <w:p w14:paraId="7C1DD0B4" w14:textId="77777777" w:rsidR="00CB6370" w:rsidRPr="0054431E" w:rsidRDefault="00CB6370" w:rsidP="00CB6370">
      <w:pPr>
        <w:spacing w:after="240"/>
        <w:jc w:val="both"/>
        <w:rPr>
          <w:rFonts w:ascii="Arial" w:hAnsi="Arial" w:cs="Arial"/>
        </w:rPr>
      </w:pPr>
      <w:r w:rsidRPr="0054431E">
        <w:rPr>
          <w:rFonts w:ascii="Arial" w:hAnsi="Arial" w:cs="Arial"/>
          <w:b/>
          <w:bCs/>
        </w:rPr>
        <w:t>Hlavní změna oproti prvnímu ročníku spočívá z výše uvedených důvodů v navýšení objemu alokovaných finančních prostředků programu (z 3 mil. Kč na 6 mil. Kč).</w:t>
      </w:r>
      <w:r w:rsidRPr="0054431E">
        <w:rPr>
          <w:rFonts w:ascii="Arial" w:hAnsi="Arial" w:cs="Arial"/>
        </w:rPr>
        <w:t xml:space="preserve"> Další</w:t>
      </w:r>
      <w:r>
        <w:rPr>
          <w:rFonts w:ascii="Arial" w:hAnsi="Arial" w:cs="Arial"/>
        </w:rPr>
        <w:t> </w:t>
      </w:r>
      <w:r w:rsidRPr="0054431E">
        <w:rPr>
          <w:rFonts w:ascii="Arial" w:hAnsi="Arial" w:cs="Arial"/>
        </w:rPr>
        <w:t>změny jsou z pohledu dopadu programu spíše marginální (typy nezpůsobilých nákladů, harmonogram plateb, doplnění hlediska dopadu na životní prostředí v rámci hodnocení projektů apod.)</w:t>
      </w:r>
      <w:r>
        <w:rPr>
          <w:rFonts w:ascii="Arial" w:hAnsi="Arial" w:cs="Arial"/>
        </w:rPr>
        <w:t>.</w:t>
      </w:r>
    </w:p>
    <w:p w14:paraId="1441EE66" w14:textId="77777777" w:rsidR="004F2C2F" w:rsidRDefault="004F2C2F" w:rsidP="00CB6370">
      <w:pPr>
        <w:spacing w:after="240"/>
        <w:jc w:val="both"/>
        <w:rPr>
          <w:rFonts w:ascii="Arial" w:hAnsi="Arial" w:cs="Arial"/>
        </w:rPr>
      </w:pPr>
    </w:p>
    <w:p w14:paraId="1EDC7A16" w14:textId="11AF7C58" w:rsidR="00CB6370" w:rsidRPr="0054431E" w:rsidRDefault="00CB6370" w:rsidP="00CB6370">
      <w:pPr>
        <w:spacing w:after="240"/>
        <w:jc w:val="both"/>
        <w:rPr>
          <w:rFonts w:ascii="Arial" w:hAnsi="Arial" w:cs="Arial"/>
        </w:rPr>
      </w:pPr>
      <w:r w:rsidRPr="0054431E">
        <w:rPr>
          <w:rFonts w:ascii="Arial" w:hAnsi="Arial" w:cs="Arial"/>
        </w:rPr>
        <w:t xml:space="preserve">Podporu zahájení a rozvoje podnikání i růst podnikavosti deklaruje Strategický plán rozvoje města Ostravy na období 2024-2030 pod značkou fajnOVA, čímž pomáhá </w:t>
      </w:r>
      <w:r w:rsidRPr="0054431E">
        <w:rPr>
          <w:rFonts w:ascii="Arial" w:hAnsi="Arial" w:cs="Arial"/>
          <w:b/>
          <w:bCs/>
        </w:rPr>
        <w:t>udržet a přilákat do města a regionu mladé, talentované a pracovité obyvatele</w:t>
      </w:r>
      <w:r w:rsidRPr="0054431E">
        <w:rPr>
          <w:rFonts w:ascii="Arial" w:hAnsi="Arial" w:cs="Arial"/>
        </w:rPr>
        <w:t xml:space="preserve"> v souladu s vizí Ostravy do roku 2040. Podpoře podnikatelů se ve Strategickém plánu rozvoje města Ostravy věnuje PRIORITA B – BOHATSTVÍ V LIDECH, Strategický cíl 4 – Rozvíjet mimořádné prostředí pro podnikání a inovace a v rámci tohoto strategického cíle zejména Klíčová oblast B.4.1 Růst podnikavosti a Klíčová oblast B.4.2 Zahájení a rozvoj podnikání.</w:t>
      </w:r>
    </w:p>
    <w:p w14:paraId="0B4458AA" w14:textId="77777777" w:rsidR="00CB6370" w:rsidRPr="0054431E" w:rsidRDefault="00CB6370" w:rsidP="00CB6370">
      <w:pPr>
        <w:spacing w:after="240"/>
        <w:jc w:val="both"/>
        <w:rPr>
          <w:rFonts w:ascii="Arial" w:hAnsi="Arial" w:cs="Arial"/>
        </w:rPr>
      </w:pPr>
      <w:r w:rsidRPr="0054431E">
        <w:rPr>
          <w:rFonts w:ascii="Arial" w:hAnsi="Arial" w:cs="Arial"/>
        </w:rPr>
        <w:t>Podpora podnikání je také prioritou Strategie vzdělávání města Ostravy 2030 ve strategickém cíli C.2 – Podnikavost a kreativita, v oblastech podpory podnikání, podnikavosti, kritického myšlení, kreativity a dalších kompetencí z oblasti měkkých dovedností a řemeslných dovedností.</w:t>
      </w:r>
    </w:p>
    <w:p w14:paraId="580A2DD9" w14:textId="77777777" w:rsidR="00CB6370" w:rsidRPr="0054431E" w:rsidRDefault="00CB6370" w:rsidP="00CB6370">
      <w:pPr>
        <w:spacing w:after="240"/>
        <w:jc w:val="both"/>
        <w:rPr>
          <w:rFonts w:ascii="Arial" w:hAnsi="Arial" w:cs="Arial"/>
        </w:rPr>
      </w:pPr>
      <w:r w:rsidRPr="0054431E">
        <w:rPr>
          <w:rFonts w:ascii="Arial" w:hAnsi="Arial" w:cs="Arial"/>
        </w:rPr>
        <w:t xml:space="preserve">Ostrava potřebuje </w:t>
      </w:r>
      <w:r w:rsidRPr="0054431E">
        <w:rPr>
          <w:rFonts w:ascii="Arial" w:hAnsi="Arial" w:cs="Arial"/>
          <w:b/>
          <w:bCs/>
        </w:rPr>
        <w:t>zlepšit úspěšnost podnikatelů</w:t>
      </w:r>
      <w:r w:rsidRPr="0054431E">
        <w:rPr>
          <w:rFonts w:ascii="Arial" w:hAnsi="Arial" w:cs="Arial"/>
        </w:rPr>
        <w:t xml:space="preserve">, protože nese následky dlouhodobého přerušení tradice podnikání během pěti dekád 20. století a orientace na velkovýrobu, která se projevuje v zaměstnanecké kultuře obyvatel, nízké míře ochoty nést rizika podnikání, a tedy v malé intenzitě zakládání drobných firem. Analytická část přípravy Strategického plánu rozvoje města prokázala, že obyvatelé Ostravy mají nižší motivaci zakládat vlastní podnikání, často díky neznalosti podnikatelského prostředí anebo obavy z neúspěchu. Program na rozjezd podnikání v Ostravě </w:t>
      </w:r>
      <w:r w:rsidRPr="0054431E">
        <w:rPr>
          <w:rFonts w:ascii="Arial" w:hAnsi="Arial" w:cs="Arial"/>
          <w:b/>
          <w:bCs/>
        </w:rPr>
        <w:t>pomáhá tyto bariéry překonat</w:t>
      </w:r>
      <w:r w:rsidRPr="0054431E">
        <w:rPr>
          <w:rFonts w:ascii="Arial" w:hAnsi="Arial" w:cs="Arial"/>
        </w:rPr>
        <w:t xml:space="preserve"> a pomáhá </w:t>
      </w:r>
      <w:r w:rsidRPr="0054431E">
        <w:rPr>
          <w:rFonts w:ascii="Arial" w:hAnsi="Arial" w:cs="Arial"/>
          <w:b/>
          <w:bCs/>
        </w:rPr>
        <w:t>motivovat k nastartování úspěšného businessu</w:t>
      </w:r>
      <w:r w:rsidRPr="0054431E">
        <w:rPr>
          <w:rFonts w:ascii="Arial" w:hAnsi="Arial" w:cs="Arial"/>
        </w:rPr>
        <w:t xml:space="preserve"> právě v Ostravě. </w:t>
      </w:r>
    </w:p>
    <w:p w14:paraId="4394ECEA" w14:textId="77777777" w:rsidR="004F2C2F" w:rsidRDefault="004F2C2F">
      <w:pPr>
        <w:rPr>
          <w:rFonts w:ascii="Arial" w:hAnsi="Arial" w:cs="Arial"/>
        </w:rPr>
      </w:pPr>
      <w:r>
        <w:rPr>
          <w:rFonts w:ascii="Arial" w:hAnsi="Arial" w:cs="Arial"/>
        </w:rPr>
        <w:br w:type="page"/>
      </w:r>
    </w:p>
    <w:p w14:paraId="198DD199" w14:textId="40637BE6" w:rsidR="00CB6370" w:rsidRPr="0054431E" w:rsidRDefault="00CB6370" w:rsidP="00CB6370">
      <w:pPr>
        <w:spacing w:after="240"/>
        <w:jc w:val="both"/>
        <w:rPr>
          <w:rFonts w:ascii="Arial" w:hAnsi="Arial" w:cs="Arial"/>
        </w:rPr>
      </w:pPr>
      <w:r w:rsidRPr="0054431E">
        <w:rPr>
          <w:rFonts w:ascii="Arial" w:hAnsi="Arial" w:cs="Arial"/>
        </w:rPr>
        <w:lastRenderedPageBreak/>
        <w:t xml:space="preserve">Žádosti o přijetí do programu a o poskytnutí peněžních prostředků mohou podávat právnické osoby, které nabízejí aktivity v oblasti mentoringu, podpory začínajících podnikatelů, </w:t>
      </w:r>
      <w:r w:rsidRPr="0054431E">
        <w:rPr>
          <w:rFonts w:ascii="Arial" w:hAnsi="Arial" w:cs="Arial"/>
          <w:b/>
          <w:bCs/>
        </w:rPr>
        <w:t>podpory řemeslných dovedností, nových technologií a inovací</w:t>
      </w:r>
      <w:r w:rsidRPr="0054431E">
        <w:rPr>
          <w:rFonts w:ascii="Arial" w:hAnsi="Arial" w:cs="Arial"/>
        </w:rPr>
        <w:t xml:space="preserve">. Uchazeči budou do programu přihlašovat projekty zaměřené zejména na podporu následujících cílových skupin: drobní podnikatelé s technicky orientovaným businessem v rané fázi rozvoje anebo </w:t>
      </w:r>
      <w:r w:rsidRPr="0054431E">
        <w:rPr>
          <w:rFonts w:ascii="Arial" w:hAnsi="Arial" w:cs="Arial"/>
          <w:b/>
          <w:bCs/>
        </w:rPr>
        <w:t>drobní podnikatelé a řemeslníci</w:t>
      </w:r>
      <w:r w:rsidRPr="0054431E">
        <w:rPr>
          <w:rFonts w:ascii="Arial" w:hAnsi="Arial" w:cs="Arial"/>
        </w:rPr>
        <w:t>, kteří mají první platící zákazníky a usilují o rozšíření zákaznického portfolia.</w:t>
      </w:r>
    </w:p>
    <w:p w14:paraId="70AEA668" w14:textId="77777777" w:rsidR="00CB6370" w:rsidRPr="0054431E" w:rsidRDefault="00CB6370" w:rsidP="00CB6370">
      <w:pPr>
        <w:spacing w:after="240"/>
        <w:jc w:val="both"/>
        <w:rPr>
          <w:rFonts w:ascii="Arial" w:hAnsi="Arial" w:cs="Arial"/>
        </w:rPr>
      </w:pPr>
      <w:r w:rsidRPr="0054431E">
        <w:rPr>
          <w:rFonts w:ascii="Arial" w:hAnsi="Arial" w:cs="Arial"/>
        </w:rPr>
        <w:t>Podrobnosti k cílům a průběhu programu jsou uvedeny v příloze č. 1 tohoto materiálu.</w:t>
      </w:r>
    </w:p>
    <w:p w14:paraId="7732DD16" w14:textId="77777777" w:rsidR="00CB6370" w:rsidRPr="0054431E" w:rsidRDefault="00CB6370" w:rsidP="00CB6370">
      <w:pPr>
        <w:spacing w:after="240"/>
        <w:jc w:val="both"/>
        <w:rPr>
          <w:rFonts w:ascii="Arial" w:hAnsi="Arial" w:cs="Arial"/>
          <w:b/>
          <w:bCs/>
        </w:rPr>
      </w:pPr>
      <w:r w:rsidRPr="0054431E">
        <w:rPr>
          <w:rFonts w:ascii="Arial" w:hAnsi="Arial" w:cs="Arial"/>
        </w:rPr>
        <w:t xml:space="preserve">Předpokládá se, že </w:t>
      </w:r>
      <w:r w:rsidRPr="0054431E">
        <w:rPr>
          <w:rFonts w:ascii="Arial" w:hAnsi="Arial" w:cs="Arial"/>
          <w:b/>
          <w:bCs/>
        </w:rPr>
        <w:t>členy výběrové komise</w:t>
      </w:r>
      <w:r w:rsidRPr="0054431E">
        <w:rPr>
          <w:rFonts w:ascii="Arial" w:hAnsi="Arial" w:cs="Arial"/>
        </w:rPr>
        <w:t xml:space="preserve"> budou</w:t>
      </w:r>
      <w:r>
        <w:rPr>
          <w:rFonts w:ascii="Arial" w:hAnsi="Arial" w:cs="Arial"/>
        </w:rPr>
        <w:t xml:space="preserve"> </w:t>
      </w:r>
      <w:r w:rsidRPr="0054431E">
        <w:rPr>
          <w:rFonts w:ascii="Arial" w:hAnsi="Arial" w:cs="Arial"/>
        </w:rPr>
        <w:t>náměstkyně primátora pro oblast strategického rozvoje a kultury, náměstkyně primátora pro oblast školství, vzdělávání, IT</w:t>
      </w:r>
      <w:r>
        <w:rPr>
          <w:rFonts w:ascii="Arial" w:hAnsi="Arial" w:cs="Arial"/>
        </w:rPr>
        <w:t> </w:t>
      </w:r>
      <w:r w:rsidRPr="0054431E">
        <w:rPr>
          <w:rFonts w:ascii="Arial" w:hAnsi="Arial" w:cs="Arial"/>
        </w:rPr>
        <w:t>služeb a outsourcingu, inovací a digitalizace, zástupce Moravskoslezského inovačního centra, zástupce lokálního malého a středního podniku a odborník na podnikání mimo Moravskoslezský kraj.</w:t>
      </w:r>
      <w:r>
        <w:rPr>
          <w:rFonts w:ascii="Arial" w:hAnsi="Arial" w:cs="Arial"/>
        </w:rPr>
        <w:t xml:space="preserve"> N</w:t>
      </w:r>
      <w:r w:rsidRPr="0054431E">
        <w:rPr>
          <w:rFonts w:ascii="Arial" w:hAnsi="Arial" w:cs="Arial"/>
        </w:rPr>
        <w:t>ominace členů bude předložena radě města v případě schválení dotačního programu.</w:t>
      </w:r>
    </w:p>
    <w:p w14:paraId="3BE78837" w14:textId="77777777" w:rsidR="004F2C2F" w:rsidRDefault="004F2C2F" w:rsidP="00CB6370">
      <w:pPr>
        <w:spacing w:after="240"/>
        <w:jc w:val="both"/>
        <w:rPr>
          <w:rFonts w:ascii="Arial" w:hAnsi="Arial" w:cs="Arial"/>
          <w:b/>
          <w:bCs/>
        </w:rPr>
      </w:pPr>
    </w:p>
    <w:p w14:paraId="75589830" w14:textId="4622B0DA" w:rsidR="00CB6370" w:rsidRPr="0054431E" w:rsidRDefault="00CB6370" w:rsidP="00CB6370">
      <w:pPr>
        <w:spacing w:after="240"/>
        <w:jc w:val="both"/>
        <w:rPr>
          <w:rFonts w:ascii="Arial" w:hAnsi="Arial" w:cs="Arial"/>
          <w:b/>
          <w:bCs/>
        </w:rPr>
      </w:pPr>
      <w:r w:rsidRPr="0054431E">
        <w:rPr>
          <w:rFonts w:ascii="Arial" w:hAnsi="Arial" w:cs="Arial"/>
          <w:b/>
          <w:bCs/>
        </w:rPr>
        <w:t>Harmonogram programu</w:t>
      </w:r>
    </w:p>
    <w:p w14:paraId="62D36BBC" w14:textId="77777777" w:rsidR="00CB6370" w:rsidRPr="0054431E" w:rsidRDefault="00CB6370" w:rsidP="00CB6370">
      <w:pPr>
        <w:spacing w:after="240"/>
        <w:jc w:val="both"/>
        <w:rPr>
          <w:rFonts w:ascii="Arial" w:hAnsi="Arial" w:cs="Arial"/>
        </w:rPr>
      </w:pPr>
      <w:r w:rsidRPr="0054431E">
        <w:rPr>
          <w:rFonts w:ascii="Arial" w:hAnsi="Arial" w:cs="Arial"/>
        </w:rPr>
        <w:t>Vyhlášení programu:</w:t>
      </w:r>
      <w:r w:rsidRPr="0054431E">
        <w:rPr>
          <w:rFonts w:ascii="Arial" w:hAnsi="Arial" w:cs="Arial"/>
        </w:rPr>
        <w:tab/>
      </w:r>
      <w:r w:rsidRPr="0054431E">
        <w:rPr>
          <w:rFonts w:ascii="Arial" w:hAnsi="Arial" w:cs="Arial"/>
        </w:rPr>
        <w:tab/>
      </w:r>
      <w:r w:rsidRPr="0054431E">
        <w:rPr>
          <w:rFonts w:ascii="Arial" w:hAnsi="Arial" w:cs="Arial"/>
        </w:rPr>
        <w:tab/>
        <w:t>1. 4. 2025</w:t>
      </w:r>
    </w:p>
    <w:p w14:paraId="63D906B4" w14:textId="77777777" w:rsidR="00CB6370" w:rsidRPr="0054431E" w:rsidRDefault="00CB6370" w:rsidP="00CB6370">
      <w:pPr>
        <w:spacing w:after="240"/>
        <w:jc w:val="both"/>
        <w:rPr>
          <w:rFonts w:ascii="Arial" w:hAnsi="Arial" w:cs="Arial"/>
        </w:rPr>
      </w:pPr>
      <w:r w:rsidRPr="0054431E">
        <w:rPr>
          <w:rFonts w:ascii="Arial" w:hAnsi="Arial" w:cs="Arial"/>
        </w:rPr>
        <w:t>Lhůta pro podání žádostí:</w:t>
      </w:r>
      <w:r w:rsidRPr="0054431E">
        <w:rPr>
          <w:rFonts w:ascii="Arial" w:hAnsi="Arial" w:cs="Arial"/>
        </w:rPr>
        <w:tab/>
      </w:r>
      <w:r w:rsidRPr="0054431E">
        <w:rPr>
          <w:rFonts w:ascii="Arial" w:hAnsi="Arial" w:cs="Arial"/>
        </w:rPr>
        <w:tab/>
        <w:t>2. 5. 2025 – 13. 6. 2025</w:t>
      </w:r>
    </w:p>
    <w:p w14:paraId="17E30774" w14:textId="77777777" w:rsidR="00CB6370" w:rsidRPr="0054431E" w:rsidRDefault="00CB6370" w:rsidP="00CB6370">
      <w:pPr>
        <w:spacing w:after="240"/>
        <w:jc w:val="both"/>
        <w:rPr>
          <w:rFonts w:ascii="Arial" w:hAnsi="Arial" w:cs="Arial"/>
        </w:rPr>
      </w:pPr>
      <w:r w:rsidRPr="0054431E">
        <w:rPr>
          <w:rFonts w:ascii="Arial" w:hAnsi="Arial" w:cs="Arial"/>
        </w:rPr>
        <w:t>Rozhodnutí o ne/poskytnutí dotace:</w:t>
      </w:r>
      <w:r w:rsidRPr="0054431E">
        <w:rPr>
          <w:rFonts w:ascii="Arial" w:hAnsi="Arial" w:cs="Arial"/>
        </w:rPr>
        <w:tab/>
        <w:t>do 30. 9. 2025</w:t>
      </w:r>
    </w:p>
    <w:p w14:paraId="7BA19B5E" w14:textId="77777777" w:rsidR="00CB6370" w:rsidRPr="0054431E" w:rsidRDefault="00CB6370" w:rsidP="00CB6370">
      <w:pPr>
        <w:spacing w:after="240"/>
        <w:jc w:val="both"/>
        <w:rPr>
          <w:rFonts w:ascii="Arial" w:hAnsi="Arial" w:cs="Arial"/>
        </w:rPr>
      </w:pPr>
      <w:r w:rsidRPr="0054431E">
        <w:rPr>
          <w:rFonts w:ascii="Arial" w:hAnsi="Arial" w:cs="Arial"/>
        </w:rPr>
        <w:t>Realizační období projektu:</w:t>
      </w:r>
      <w:r w:rsidRPr="0054431E">
        <w:rPr>
          <w:rFonts w:ascii="Arial" w:hAnsi="Arial" w:cs="Arial"/>
        </w:rPr>
        <w:tab/>
      </w:r>
      <w:r w:rsidRPr="0054431E">
        <w:rPr>
          <w:rFonts w:ascii="Arial" w:hAnsi="Arial" w:cs="Arial"/>
        </w:rPr>
        <w:tab/>
        <w:t>1. 10. 2025 – 30. 9. 2026</w:t>
      </w:r>
    </w:p>
    <w:p w14:paraId="01D26821" w14:textId="77777777" w:rsidR="00CB6370" w:rsidRPr="0054431E" w:rsidRDefault="00CB6370" w:rsidP="00CB6370">
      <w:pPr>
        <w:spacing w:after="240"/>
        <w:jc w:val="both"/>
        <w:rPr>
          <w:rFonts w:ascii="Arial" w:hAnsi="Arial" w:cs="Arial"/>
        </w:rPr>
      </w:pPr>
      <w:r w:rsidRPr="0054431E">
        <w:rPr>
          <w:rFonts w:ascii="Arial" w:hAnsi="Arial" w:cs="Arial"/>
        </w:rPr>
        <w:t>Finanční vypořádání projektu:</w:t>
      </w:r>
      <w:r w:rsidRPr="0054431E">
        <w:rPr>
          <w:rFonts w:ascii="Arial" w:hAnsi="Arial" w:cs="Arial"/>
        </w:rPr>
        <w:tab/>
        <w:t>do 30. 10. 2026</w:t>
      </w:r>
    </w:p>
    <w:p w14:paraId="2BF3E19B" w14:textId="77777777" w:rsidR="004F2C2F" w:rsidRDefault="004F2C2F" w:rsidP="00CB6370">
      <w:pPr>
        <w:spacing w:after="240"/>
        <w:jc w:val="both"/>
        <w:rPr>
          <w:rFonts w:ascii="Arial" w:hAnsi="Arial" w:cs="Arial"/>
          <w:b/>
          <w:bCs/>
        </w:rPr>
      </w:pPr>
    </w:p>
    <w:p w14:paraId="692CE07E" w14:textId="435195FD" w:rsidR="00CB6370" w:rsidRPr="0054431E" w:rsidRDefault="00CB6370" w:rsidP="00CB6370">
      <w:pPr>
        <w:spacing w:after="240"/>
        <w:jc w:val="both"/>
        <w:rPr>
          <w:rFonts w:ascii="Arial" w:hAnsi="Arial" w:cs="Arial"/>
          <w:b/>
          <w:bCs/>
        </w:rPr>
      </w:pPr>
      <w:r w:rsidRPr="0054431E">
        <w:rPr>
          <w:rFonts w:ascii="Arial" w:hAnsi="Arial" w:cs="Arial"/>
          <w:b/>
          <w:bCs/>
        </w:rPr>
        <w:t>Financování programu</w:t>
      </w:r>
    </w:p>
    <w:bookmarkEnd w:id="1"/>
    <w:p w14:paraId="6C0F8567" w14:textId="3A1F1184" w:rsidR="007E7000" w:rsidRPr="00CB6370" w:rsidRDefault="00CB6370" w:rsidP="00CB6370">
      <w:pPr>
        <w:spacing w:after="240"/>
        <w:jc w:val="both"/>
        <w:rPr>
          <w:rFonts w:ascii="Arial" w:hAnsi="Arial" w:cs="Arial"/>
        </w:rPr>
      </w:pPr>
      <w:r w:rsidRPr="0054431E">
        <w:rPr>
          <w:rFonts w:ascii="Arial" w:hAnsi="Arial" w:cs="Arial"/>
        </w:rPr>
        <w:t>Celkový předpokládaný objem finančních prostředků, který bude vyčleněn z rozpočtu statutárního města Ostravy na tento program, činí 6 000 000 Kč. Tento objem vychází ze součtu částek z žádostí podaných do prvního ročníku (součet požadovaných částek šesti žadatelů z žádostí prvního ročníku činil 6 152 000,- Kč; dotace byla poskytnuta třem žadatelům v úhrnné výši 2 972 000,- Kč). Po loňské alokaci 3 mil. Kč je do druhého ročníku proto navrhována alokace 6 mil. Kč. Finanční prostředky na rok 2025 ve výši 3 000 000 Kč jsou vyhrazeny v rozpočtu odboru strategického rozvoje Magistrátu města Ostravy (ORJ 300, § 3639, pol. 5901), který bude také administrátorem programu.</w:t>
      </w:r>
    </w:p>
    <w:sectPr w:rsidR="007E7000" w:rsidRPr="00CB63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87CA" w14:textId="77777777" w:rsidR="00E5670A" w:rsidRDefault="00E5670A" w:rsidP="00ED3AB7">
      <w:pPr>
        <w:spacing w:after="0" w:line="240" w:lineRule="auto"/>
      </w:pPr>
      <w:r>
        <w:separator/>
      </w:r>
    </w:p>
  </w:endnote>
  <w:endnote w:type="continuationSeparator" w:id="0">
    <w:p w14:paraId="3EF7EE7A" w14:textId="77777777" w:rsidR="00E5670A" w:rsidRDefault="00E5670A" w:rsidP="00ED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Grande CE">
    <w:altName w:val="Arial"/>
    <w:charset w:val="58"/>
    <w:family w:val="auto"/>
    <w:pitch w:val="variable"/>
    <w:sig w:usb0="00000000" w:usb1="5000A1FF" w:usb2="00000000" w:usb3="00000000" w:csb0="000001B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69E6" w14:textId="77777777" w:rsidR="00E5670A" w:rsidRDefault="00E5670A" w:rsidP="00ED3AB7">
      <w:pPr>
        <w:spacing w:after="0" w:line="240" w:lineRule="auto"/>
      </w:pPr>
      <w:r>
        <w:separator/>
      </w:r>
    </w:p>
  </w:footnote>
  <w:footnote w:type="continuationSeparator" w:id="0">
    <w:p w14:paraId="45910415" w14:textId="77777777" w:rsidR="00E5670A" w:rsidRDefault="00E5670A" w:rsidP="00ED3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3CF2"/>
    <w:multiLevelType w:val="hybridMultilevel"/>
    <w:tmpl w:val="C1E60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D54707"/>
    <w:multiLevelType w:val="multilevel"/>
    <w:tmpl w:val="C86ED94E"/>
    <w:lvl w:ilvl="0">
      <w:start w:val="1"/>
      <w:numFmt w:val="decimal"/>
      <w:pStyle w:val="Nadpis1"/>
      <w:lvlText w:val="%1."/>
      <w:lvlJc w:val="left"/>
      <w:pPr>
        <w:ind w:left="360" w:hanging="360"/>
      </w:pPr>
      <w:rPr>
        <w:b/>
        <w:bCs w:val="0"/>
        <w:i w:val="0"/>
        <w:iCs w:val="0"/>
        <w:caps w:val="0"/>
        <w:smallCaps w:val="0"/>
        <w:strike w:val="0"/>
        <w:dstrike w:val="0"/>
        <w:noProof w:val="0"/>
        <w:vanish w:val="0"/>
        <w:color w:val="215868" w:themeColor="accent5" w:themeShade="80"/>
        <w:spacing w:val="0"/>
        <w:kern w:val="0"/>
        <w:position w:val="0"/>
        <w:u w:val="none"/>
        <w:effect w:val="none"/>
        <w:vertAlign w:val="baseline"/>
        <w:em w:val="none"/>
        <w:specVanish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A6C6656"/>
    <w:multiLevelType w:val="hybridMultilevel"/>
    <w:tmpl w:val="B8120B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2D24BE"/>
    <w:multiLevelType w:val="hybridMultilevel"/>
    <w:tmpl w:val="92147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F28D4"/>
    <w:multiLevelType w:val="hybridMultilevel"/>
    <w:tmpl w:val="21BC73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44D012FA"/>
    <w:multiLevelType w:val="hybridMultilevel"/>
    <w:tmpl w:val="693C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1736C2"/>
    <w:multiLevelType w:val="hybridMultilevel"/>
    <w:tmpl w:val="31B42358"/>
    <w:lvl w:ilvl="0" w:tplc="1AEADCFC">
      <w:start w:val="1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2DB0398"/>
    <w:multiLevelType w:val="hybridMultilevel"/>
    <w:tmpl w:val="199CF6FE"/>
    <w:lvl w:ilvl="0" w:tplc="1AEADCFC">
      <w:start w:val="1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41357847">
    <w:abstractNumId w:val="6"/>
  </w:num>
  <w:num w:numId="2" w16cid:durableId="1801994909">
    <w:abstractNumId w:val="2"/>
  </w:num>
  <w:num w:numId="3" w16cid:durableId="267542829">
    <w:abstractNumId w:val="4"/>
  </w:num>
  <w:num w:numId="4" w16cid:durableId="1355887860">
    <w:abstractNumId w:val="3"/>
  </w:num>
  <w:num w:numId="5" w16cid:durableId="1915578236">
    <w:abstractNumId w:val="5"/>
  </w:num>
  <w:num w:numId="6" w16cid:durableId="289360205">
    <w:abstractNumId w:val="0"/>
  </w:num>
  <w:num w:numId="7" w16cid:durableId="411972704">
    <w:abstractNumId w:val="1"/>
  </w:num>
  <w:num w:numId="8" w16cid:durableId="715739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D2A"/>
    <w:rsid w:val="000048C3"/>
    <w:rsid w:val="0000655A"/>
    <w:rsid w:val="00034C06"/>
    <w:rsid w:val="00061140"/>
    <w:rsid w:val="0007403D"/>
    <w:rsid w:val="000878D2"/>
    <w:rsid w:val="000921FB"/>
    <w:rsid w:val="000A52EB"/>
    <w:rsid w:val="000B5670"/>
    <w:rsid w:val="000E062C"/>
    <w:rsid w:val="000E4A69"/>
    <w:rsid w:val="000F138D"/>
    <w:rsid w:val="001354FA"/>
    <w:rsid w:val="00190D1A"/>
    <w:rsid w:val="001C087A"/>
    <w:rsid w:val="001D1A5D"/>
    <w:rsid w:val="001E7B00"/>
    <w:rsid w:val="00206D87"/>
    <w:rsid w:val="00207C56"/>
    <w:rsid w:val="00214404"/>
    <w:rsid w:val="002166DD"/>
    <w:rsid w:val="0022532F"/>
    <w:rsid w:val="0027481D"/>
    <w:rsid w:val="002764CA"/>
    <w:rsid w:val="002C47BB"/>
    <w:rsid w:val="002E1B64"/>
    <w:rsid w:val="002E653A"/>
    <w:rsid w:val="002F5D30"/>
    <w:rsid w:val="00326C28"/>
    <w:rsid w:val="00332888"/>
    <w:rsid w:val="00342F5E"/>
    <w:rsid w:val="00345066"/>
    <w:rsid w:val="00373F20"/>
    <w:rsid w:val="00394CFB"/>
    <w:rsid w:val="003A6F92"/>
    <w:rsid w:val="00404853"/>
    <w:rsid w:val="00427CFA"/>
    <w:rsid w:val="00482C70"/>
    <w:rsid w:val="0049286C"/>
    <w:rsid w:val="004A5B1C"/>
    <w:rsid w:val="004D13ED"/>
    <w:rsid w:val="004F2C2F"/>
    <w:rsid w:val="00534BBD"/>
    <w:rsid w:val="0053530B"/>
    <w:rsid w:val="00545C27"/>
    <w:rsid w:val="00560461"/>
    <w:rsid w:val="00562E8A"/>
    <w:rsid w:val="00581F57"/>
    <w:rsid w:val="005A1408"/>
    <w:rsid w:val="005A6316"/>
    <w:rsid w:val="005D6327"/>
    <w:rsid w:val="005E6761"/>
    <w:rsid w:val="005F2CEE"/>
    <w:rsid w:val="00602A77"/>
    <w:rsid w:val="0061298C"/>
    <w:rsid w:val="00616BBC"/>
    <w:rsid w:val="0064521A"/>
    <w:rsid w:val="006B10E8"/>
    <w:rsid w:val="006B7313"/>
    <w:rsid w:val="006F0BE3"/>
    <w:rsid w:val="0070792B"/>
    <w:rsid w:val="00713063"/>
    <w:rsid w:val="007370FB"/>
    <w:rsid w:val="00762BE2"/>
    <w:rsid w:val="00766888"/>
    <w:rsid w:val="00766AAD"/>
    <w:rsid w:val="007731FD"/>
    <w:rsid w:val="007814C6"/>
    <w:rsid w:val="00794493"/>
    <w:rsid w:val="00796CF9"/>
    <w:rsid w:val="007A502B"/>
    <w:rsid w:val="007B1071"/>
    <w:rsid w:val="007C5F6E"/>
    <w:rsid w:val="007E396C"/>
    <w:rsid w:val="007E7000"/>
    <w:rsid w:val="007F3404"/>
    <w:rsid w:val="007F4CCE"/>
    <w:rsid w:val="00806519"/>
    <w:rsid w:val="0083002C"/>
    <w:rsid w:val="008724C8"/>
    <w:rsid w:val="00885AE0"/>
    <w:rsid w:val="008D2390"/>
    <w:rsid w:val="008E36C9"/>
    <w:rsid w:val="009001F9"/>
    <w:rsid w:val="00911AF5"/>
    <w:rsid w:val="00932C7D"/>
    <w:rsid w:val="00935C89"/>
    <w:rsid w:val="0094373B"/>
    <w:rsid w:val="0095077C"/>
    <w:rsid w:val="0095432C"/>
    <w:rsid w:val="00965529"/>
    <w:rsid w:val="00971F6D"/>
    <w:rsid w:val="00975CDA"/>
    <w:rsid w:val="00983976"/>
    <w:rsid w:val="00990706"/>
    <w:rsid w:val="009A37CB"/>
    <w:rsid w:val="009C0C64"/>
    <w:rsid w:val="009C46C2"/>
    <w:rsid w:val="009D0771"/>
    <w:rsid w:val="009F124D"/>
    <w:rsid w:val="00A03A32"/>
    <w:rsid w:val="00A11E7B"/>
    <w:rsid w:val="00A26451"/>
    <w:rsid w:val="00A66DC1"/>
    <w:rsid w:val="00A7016A"/>
    <w:rsid w:val="00A7302C"/>
    <w:rsid w:val="00A90109"/>
    <w:rsid w:val="00AC2505"/>
    <w:rsid w:val="00AC32A0"/>
    <w:rsid w:val="00AD7450"/>
    <w:rsid w:val="00AE0173"/>
    <w:rsid w:val="00B06591"/>
    <w:rsid w:val="00B31BCE"/>
    <w:rsid w:val="00B81AAA"/>
    <w:rsid w:val="00B864E8"/>
    <w:rsid w:val="00B96A5E"/>
    <w:rsid w:val="00BA0B9E"/>
    <w:rsid w:val="00BB01CE"/>
    <w:rsid w:val="00BB01F6"/>
    <w:rsid w:val="00BC5207"/>
    <w:rsid w:val="00BF5BAB"/>
    <w:rsid w:val="00C13DDB"/>
    <w:rsid w:val="00C4508A"/>
    <w:rsid w:val="00C46125"/>
    <w:rsid w:val="00C527AE"/>
    <w:rsid w:val="00C612E9"/>
    <w:rsid w:val="00C64089"/>
    <w:rsid w:val="00C6424C"/>
    <w:rsid w:val="00C92A36"/>
    <w:rsid w:val="00C96C1A"/>
    <w:rsid w:val="00CA5B34"/>
    <w:rsid w:val="00CB6370"/>
    <w:rsid w:val="00CC6B38"/>
    <w:rsid w:val="00CD2681"/>
    <w:rsid w:val="00CD657A"/>
    <w:rsid w:val="00CF7B93"/>
    <w:rsid w:val="00CF7FF3"/>
    <w:rsid w:val="00D41D15"/>
    <w:rsid w:val="00D50F3C"/>
    <w:rsid w:val="00D6485B"/>
    <w:rsid w:val="00D67D30"/>
    <w:rsid w:val="00D70263"/>
    <w:rsid w:val="00D8020A"/>
    <w:rsid w:val="00D807F6"/>
    <w:rsid w:val="00D80945"/>
    <w:rsid w:val="00DA7073"/>
    <w:rsid w:val="00DC1B1E"/>
    <w:rsid w:val="00DC225D"/>
    <w:rsid w:val="00DF34BE"/>
    <w:rsid w:val="00E417C3"/>
    <w:rsid w:val="00E44CB9"/>
    <w:rsid w:val="00E5670A"/>
    <w:rsid w:val="00E56DD9"/>
    <w:rsid w:val="00E7355A"/>
    <w:rsid w:val="00E7750A"/>
    <w:rsid w:val="00E777C6"/>
    <w:rsid w:val="00E93705"/>
    <w:rsid w:val="00E97D2A"/>
    <w:rsid w:val="00ED0154"/>
    <w:rsid w:val="00ED3AB7"/>
    <w:rsid w:val="00F11EB5"/>
    <w:rsid w:val="00F41498"/>
    <w:rsid w:val="00F9641C"/>
    <w:rsid w:val="00FC4E67"/>
    <w:rsid w:val="00FD590F"/>
    <w:rsid w:val="00FF012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64492"/>
  <w15:docId w15:val="{FA150BE8-8616-4706-868F-5D91AF5A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26451"/>
    <w:pPr>
      <w:keepNext/>
      <w:keepLines/>
      <w:numPr>
        <w:numId w:val="7"/>
      </w:numPr>
      <w:spacing w:before="120" w:after="240" w:line="240" w:lineRule="auto"/>
      <w:jc w:val="both"/>
      <w:outlineLvl w:val="0"/>
    </w:pPr>
    <w:rPr>
      <w:rFonts w:eastAsiaTheme="majorEastAsia" w:cstheme="minorHAnsi"/>
      <w:b/>
      <w:color w:val="215868" w:themeColor="accent5" w:themeShade="80"/>
      <w:sz w:val="36"/>
      <w:szCs w:val="32"/>
    </w:rPr>
  </w:style>
  <w:style w:type="paragraph" w:styleId="Nadpis2">
    <w:name w:val="heading 2"/>
    <w:basedOn w:val="Normln"/>
    <w:link w:val="Nadpis2Char"/>
    <w:uiPriority w:val="9"/>
    <w:qFormat/>
    <w:rsid w:val="00A26451"/>
    <w:pPr>
      <w:numPr>
        <w:ilvl w:val="1"/>
        <w:numId w:val="7"/>
      </w:numPr>
      <w:spacing w:before="100" w:beforeAutospacing="1" w:after="100" w:afterAutospacing="1" w:line="240" w:lineRule="auto"/>
      <w:jc w:val="both"/>
      <w:outlineLvl w:val="1"/>
    </w:pPr>
    <w:rPr>
      <w:rFonts w:eastAsia="Times New Roman" w:cs="Times New Roman"/>
      <w:b/>
      <w:bCs/>
      <w:color w:val="215868" w:themeColor="accent5" w:themeShade="80"/>
      <w:sz w:val="32"/>
      <w:szCs w:val="36"/>
      <w:lang w:eastAsia="cs-CZ"/>
    </w:rPr>
  </w:style>
  <w:style w:type="paragraph" w:styleId="Nadpis3">
    <w:name w:val="heading 3"/>
    <w:basedOn w:val="Normln"/>
    <w:next w:val="Normln"/>
    <w:link w:val="Nadpis3Char"/>
    <w:unhideWhenUsed/>
    <w:qFormat/>
    <w:rsid w:val="00A26451"/>
    <w:pPr>
      <w:keepNext/>
      <w:keepLines/>
      <w:numPr>
        <w:ilvl w:val="2"/>
        <w:numId w:val="7"/>
      </w:numPr>
      <w:spacing w:before="120" w:after="240" w:line="240" w:lineRule="auto"/>
      <w:jc w:val="both"/>
      <w:outlineLvl w:val="2"/>
    </w:pPr>
    <w:rPr>
      <w:rFonts w:eastAsiaTheme="majorEastAsia" w:cstheme="majorBidi"/>
      <w:b/>
      <w:color w:val="215868" w:themeColor="accent5" w:themeShade="80"/>
      <w:sz w:val="28"/>
      <w:szCs w:val="24"/>
    </w:rPr>
  </w:style>
  <w:style w:type="paragraph" w:styleId="Nadpis4">
    <w:name w:val="heading 4"/>
    <w:basedOn w:val="Normln"/>
    <w:next w:val="Normln"/>
    <w:link w:val="Nadpis4Char"/>
    <w:unhideWhenUsed/>
    <w:qFormat/>
    <w:rsid w:val="00A26451"/>
    <w:pPr>
      <w:keepNext/>
      <w:keepLines/>
      <w:numPr>
        <w:ilvl w:val="3"/>
        <w:numId w:val="7"/>
      </w:numPr>
      <w:spacing w:before="40" w:after="0" w:line="240" w:lineRule="auto"/>
      <w:jc w:val="both"/>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A26451"/>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A26451"/>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26451"/>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26451"/>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6451"/>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7D2A"/>
    <w:pPr>
      <w:spacing w:after="0" w:line="240" w:lineRule="auto"/>
      <w:ind w:left="720"/>
    </w:pPr>
    <w:rPr>
      <w:rFonts w:ascii="Calibri" w:hAnsi="Calibri" w:cs="Times New Roman"/>
    </w:rPr>
  </w:style>
  <w:style w:type="character" w:styleId="Odkaznakoment">
    <w:name w:val="annotation reference"/>
    <w:basedOn w:val="Standardnpsmoodstavce"/>
    <w:uiPriority w:val="99"/>
    <w:semiHidden/>
    <w:unhideWhenUsed/>
    <w:rsid w:val="00E56DD9"/>
    <w:rPr>
      <w:sz w:val="18"/>
      <w:szCs w:val="18"/>
    </w:rPr>
  </w:style>
  <w:style w:type="paragraph" w:styleId="Textkomente">
    <w:name w:val="annotation text"/>
    <w:basedOn w:val="Normln"/>
    <w:link w:val="TextkomenteChar"/>
    <w:uiPriority w:val="99"/>
    <w:unhideWhenUsed/>
    <w:rsid w:val="00E56DD9"/>
    <w:pPr>
      <w:spacing w:line="240" w:lineRule="auto"/>
    </w:pPr>
    <w:rPr>
      <w:sz w:val="24"/>
      <w:szCs w:val="24"/>
    </w:rPr>
  </w:style>
  <w:style w:type="character" w:customStyle="1" w:styleId="TextkomenteChar">
    <w:name w:val="Text komentáře Char"/>
    <w:basedOn w:val="Standardnpsmoodstavce"/>
    <w:link w:val="Textkomente"/>
    <w:uiPriority w:val="99"/>
    <w:rsid w:val="00E56DD9"/>
    <w:rPr>
      <w:sz w:val="24"/>
      <w:szCs w:val="24"/>
    </w:rPr>
  </w:style>
  <w:style w:type="paragraph" w:styleId="Pedmtkomente">
    <w:name w:val="annotation subject"/>
    <w:basedOn w:val="Textkomente"/>
    <w:next w:val="Textkomente"/>
    <w:link w:val="PedmtkomenteChar"/>
    <w:uiPriority w:val="99"/>
    <w:semiHidden/>
    <w:unhideWhenUsed/>
    <w:rsid w:val="00E56DD9"/>
    <w:rPr>
      <w:b/>
      <w:bCs/>
      <w:sz w:val="20"/>
      <w:szCs w:val="20"/>
    </w:rPr>
  </w:style>
  <w:style w:type="character" w:customStyle="1" w:styleId="PedmtkomenteChar">
    <w:name w:val="Předmět komentáře Char"/>
    <w:basedOn w:val="TextkomenteChar"/>
    <w:link w:val="Pedmtkomente"/>
    <w:uiPriority w:val="99"/>
    <w:semiHidden/>
    <w:rsid w:val="00E56DD9"/>
    <w:rPr>
      <w:b/>
      <w:bCs/>
      <w:sz w:val="20"/>
      <w:szCs w:val="20"/>
    </w:rPr>
  </w:style>
  <w:style w:type="paragraph" w:styleId="Textbubliny">
    <w:name w:val="Balloon Text"/>
    <w:basedOn w:val="Normln"/>
    <w:link w:val="TextbublinyChar"/>
    <w:uiPriority w:val="99"/>
    <w:semiHidden/>
    <w:unhideWhenUsed/>
    <w:rsid w:val="00E56DD9"/>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E56DD9"/>
    <w:rPr>
      <w:rFonts w:ascii="Lucida Grande CE" w:hAnsi="Lucida Grande CE" w:cs="Lucida Grande CE"/>
      <w:sz w:val="18"/>
      <w:szCs w:val="18"/>
    </w:rPr>
  </w:style>
  <w:style w:type="character" w:customStyle="1" w:styleId="Nadpis1Char">
    <w:name w:val="Nadpis 1 Char"/>
    <w:basedOn w:val="Standardnpsmoodstavce"/>
    <w:link w:val="Nadpis1"/>
    <w:rsid w:val="00A26451"/>
    <w:rPr>
      <w:rFonts w:eastAsiaTheme="majorEastAsia" w:cstheme="minorHAnsi"/>
      <w:b/>
      <w:color w:val="215868" w:themeColor="accent5" w:themeShade="80"/>
      <w:sz w:val="36"/>
      <w:szCs w:val="32"/>
    </w:rPr>
  </w:style>
  <w:style w:type="character" w:customStyle="1" w:styleId="Nadpis2Char">
    <w:name w:val="Nadpis 2 Char"/>
    <w:basedOn w:val="Standardnpsmoodstavce"/>
    <w:link w:val="Nadpis2"/>
    <w:uiPriority w:val="9"/>
    <w:rsid w:val="00A26451"/>
    <w:rPr>
      <w:rFonts w:eastAsia="Times New Roman" w:cs="Times New Roman"/>
      <w:b/>
      <w:bCs/>
      <w:color w:val="215868" w:themeColor="accent5" w:themeShade="80"/>
      <w:sz w:val="32"/>
      <w:szCs w:val="36"/>
      <w:lang w:eastAsia="cs-CZ"/>
    </w:rPr>
  </w:style>
  <w:style w:type="character" w:customStyle="1" w:styleId="Nadpis3Char">
    <w:name w:val="Nadpis 3 Char"/>
    <w:basedOn w:val="Standardnpsmoodstavce"/>
    <w:link w:val="Nadpis3"/>
    <w:rsid w:val="00A26451"/>
    <w:rPr>
      <w:rFonts w:eastAsiaTheme="majorEastAsia" w:cstheme="majorBidi"/>
      <w:b/>
      <w:color w:val="215868" w:themeColor="accent5" w:themeShade="80"/>
      <w:sz w:val="28"/>
      <w:szCs w:val="24"/>
    </w:rPr>
  </w:style>
  <w:style w:type="character" w:customStyle="1" w:styleId="Nadpis4Char">
    <w:name w:val="Nadpis 4 Char"/>
    <w:basedOn w:val="Standardnpsmoodstavce"/>
    <w:link w:val="Nadpis4"/>
    <w:rsid w:val="00A26451"/>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A26451"/>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A26451"/>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rsid w:val="00A2645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A2645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6451"/>
    <w:rPr>
      <w:rFonts w:asciiTheme="majorHAnsi" w:eastAsiaTheme="majorEastAsia" w:hAnsiTheme="majorHAnsi" w:cstheme="majorBidi"/>
      <w:i/>
      <w:iCs/>
      <w:color w:val="272727" w:themeColor="text1" w:themeTint="D8"/>
      <w:sz w:val="21"/>
      <w:szCs w:val="21"/>
    </w:rPr>
  </w:style>
  <w:style w:type="character" w:customStyle="1" w:styleId="color11">
    <w:name w:val="color_11"/>
    <w:basedOn w:val="Standardnpsmoodstavce"/>
    <w:rsid w:val="007B1071"/>
  </w:style>
  <w:style w:type="paragraph" w:styleId="Textpoznpodarou">
    <w:name w:val="footnote text"/>
    <w:basedOn w:val="Normln"/>
    <w:link w:val="TextpoznpodarouChar"/>
    <w:uiPriority w:val="99"/>
    <w:semiHidden/>
    <w:unhideWhenUsed/>
    <w:rsid w:val="007B1071"/>
    <w:pPr>
      <w:spacing w:after="0" w:line="240" w:lineRule="auto"/>
    </w:pPr>
    <w:rPr>
      <w:rFonts w:ascii="Montserrat" w:eastAsia="Times New Roman" w:hAnsi="Montserrat"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7B1071"/>
    <w:rPr>
      <w:rFonts w:ascii="Montserrat" w:eastAsia="Times New Roman" w:hAnsi="Montserrat" w:cs="Times New Roman"/>
      <w:sz w:val="20"/>
      <w:szCs w:val="20"/>
      <w:lang w:eastAsia="cs-CZ"/>
    </w:rPr>
  </w:style>
  <w:style w:type="character" w:styleId="Znakapoznpodarou">
    <w:name w:val="footnote reference"/>
    <w:basedOn w:val="Standardnpsmoodstavce"/>
    <w:uiPriority w:val="99"/>
    <w:semiHidden/>
    <w:unhideWhenUsed/>
    <w:rsid w:val="007B1071"/>
    <w:rPr>
      <w:vertAlign w:val="superscript"/>
    </w:rPr>
  </w:style>
  <w:style w:type="character" w:styleId="Siln">
    <w:name w:val="Strong"/>
    <w:basedOn w:val="Standardnpsmoodstavce"/>
    <w:uiPriority w:val="22"/>
    <w:qFormat/>
    <w:rsid w:val="00762BE2"/>
    <w:rPr>
      <w:b/>
      <w:bCs/>
    </w:rPr>
  </w:style>
  <w:style w:type="character" w:styleId="Zdraznnintenzivn">
    <w:name w:val="Intense Emphasis"/>
    <w:basedOn w:val="Standardnpsmoodstavce"/>
    <w:uiPriority w:val="21"/>
    <w:qFormat/>
    <w:rsid w:val="00794493"/>
    <w:rPr>
      <w:i/>
      <w:iCs/>
      <w:color w:val="4F81BD" w:themeColor="accent1"/>
    </w:rPr>
  </w:style>
  <w:style w:type="character" w:styleId="Zdraznn">
    <w:name w:val="Emphasis"/>
    <w:basedOn w:val="Standardnpsmoodstavce"/>
    <w:uiPriority w:val="20"/>
    <w:qFormat/>
    <w:rsid w:val="00ED0154"/>
    <w:rPr>
      <w:i/>
      <w:iCs/>
    </w:rPr>
  </w:style>
  <w:style w:type="paragraph" w:customStyle="1" w:styleId="font8">
    <w:name w:val="font_8"/>
    <w:basedOn w:val="Normln"/>
    <w:rsid w:val="00D702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D6327"/>
    <w:rPr>
      <w:color w:val="0000FF" w:themeColor="hyperlink"/>
      <w:u w:val="single"/>
    </w:rPr>
  </w:style>
  <w:style w:type="character" w:styleId="Nevyeenzmnka">
    <w:name w:val="Unresolved Mention"/>
    <w:basedOn w:val="Standardnpsmoodstavce"/>
    <w:uiPriority w:val="99"/>
    <w:semiHidden/>
    <w:unhideWhenUsed/>
    <w:rsid w:val="005D6327"/>
    <w:rPr>
      <w:color w:val="605E5C"/>
      <w:shd w:val="clear" w:color="auto" w:fill="E1DFDD"/>
    </w:rPr>
  </w:style>
  <w:style w:type="paragraph" w:styleId="Revize">
    <w:name w:val="Revision"/>
    <w:hidden/>
    <w:uiPriority w:val="99"/>
    <w:semiHidden/>
    <w:rsid w:val="00766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8277">
      <w:bodyDiv w:val="1"/>
      <w:marLeft w:val="0"/>
      <w:marRight w:val="0"/>
      <w:marTop w:val="0"/>
      <w:marBottom w:val="0"/>
      <w:divBdr>
        <w:top w:val="none" w:sz="0" w:space="0" w:color="auto"/>
        <w:left w:val="none" w:sz="0" w:space="0" w:color="auto"/>
        <w:bottom w:val="none" w:sz="0" w:space="0" w:color="auto"/>
        <w:right w:val="none" w:sz="0" w:space="0" w:color="auto"/>
      </w:divBdr>
      <w:divsChild>
        <w:div w:id="485559693">
          <w:marLeft w:val="0"/>
          <w:marRight w:val="0"/>
          <w:marTop w:val="0"/>
          <w:marBottom w:val="0"/>
          <w:divBdr>
            <w:top w:val="none" w:sz="0" w:space="0" w:color="auto"/>
            <w:left w:val="none" w:sz="0" w:space="0" w:color="auto"/>
            <w:bottom w:val="none" w:sz="0" w:space="0" w:color="auto"/>
            <w:right w:val="none" w:sz="0" w:space="0" w:color="auto"/>
          </w:divBdr>
        </w:div>
        <w:div w:id="1862742189">
          <w:marLeft w:val="0"/>
          <w:marRight w:val="0"/>
          <w:marTop w:val="0"/>
          <w:marBottom w:val="0"/>
          <w:divBdr>
            <w:top w:val="none" w:sz="0" w:space="0" w:color="auto"/>
            <w:left w:val="none" w:sz="0" w:space="0" w:color="auto"/>
            <w:bottom w:val="none" w:sz="0" w:space="0" w:color="auto"/>
            <w:right w:val="none" w:sz="0" w:space="0" w:color="auto"/>
          </w:divBdr>
        </w:div>
      </w:divsChild>
    </w:div>
    <w:div w:id="473181761">
      <w:bodyDiv w:val="1"/>
      <w:marLeft w:val="0"/>
      <w:marRight w:val="0"/>
      <w:marTop w:val="0"/>
      <w:marBottom w:val="0"/>
      <w:divBdr>
        <w:top w:val="none" w:sz="0" w:space="0" w:color="auto"/>
        <w:left w:val="none" w:sz="0" w:space="0" w:color="auto"/>
        <w:bottom w:val="none" w:sz="0" w:space="0" w:color="auto"/>
        <w:right w:val="none" w:sz="0" w:space="0" w:color="auto"/>
      </w:divBdr>
      <w:divsChild>
        <w:div w:id="34700806">
          <w:marLeft w:val="0"/>
          <w:marRight w:val="0"/>
          <w:marTop w:val="0"/>
          <w:marBottom w:val="0"/>
          <w:divBdr>
            <w:top w:val="none" w:sz="0" w:space="0" w:color="auto"/>
            <w:left w:val="none" w:sz="0" w:space="0" w:color="auto"/>
            <w:bottom w:val="none" w:sz="0" w:space="0" w:color="auto"/>
            <w:right w:val="none" w:sz="0" w:space="0" w:color="auto"/>
          </w:divBdr>
        </w:div>
        <w:div w:id="1327592353">
          <w:marLeft w:val="0"/>
          <w:marRight w:val="0"/>
          <w:marTop w:val="0"/>
          <w:marBottom w:val="0"/>
          <w:divBdr>
            <w:top w:val="none" w:sz="0" w:space="0" w:color="auto"/>
            <w:left w:val="none" w:sz="0" w:space="0" w:color="auto"/>
            <w:bottom w:val="none" w:sz="0" w:space="0" w:color="auto"/>
            <w:right w:val="none" w:sz="0" w:space="0" w:color="auto"/>
          </w:divBdr>
        </w:div>
      </w:divsChild>
    </w:div>
    <w:div w:id="870918905">
      <w:bodyDiv w:val="1"/>
      <w:marLeft w:val="0"/>
      <w:marRight w:val="0"/>
      <w:marTop w:val="0"/>
      <w:marBottom w:val="0"/>
      <w:divBdr>
        <w:top w:val="none" w:sz="0" w:space="0" w:color="auto"/>
        <w:left w:val="none" w:sz="0" w:space="0" w:color="auto"/>
        <w:bottom w:val="none" w:sz="0" w:space="0" w:color="auto"/>
        <w:right w:val="none" w:sz="0" w:space="0" w:color="auto"/>
      </w:divBdr>
    </w:div>
    <w:div w:id="969440690">
      <w:bodyDiv w:val="1"/>
      <w:marLeft w:val="0"/>
      <w:marRight w:val="0"/>
      <w:marTop w:val="0"/>
      <w:marBottom w:val="0"/>
      <w:divBdr>
        <w:top w:val="none" w:sz="0" w:space="0" w:color="auto"/>
        <w:left w:val="none" w:sz="0" w:space="0" w:color="auto"/>
        <w:bottom w:val="none" w:sz="0" w:space="0" w:color="auto"/>
        <w:right w:val="none" w:sz="0" w:space="0" w:color="auto"/>
      </w:divBdr>
    </w:div>
    <w:div w:id="1084450709">
      <w:bodyDiv w:val="1"/>
      <w:marLeft w:val="0"/>
      <w:marRight w:val="0"/>
      <w:marTop w:val="0"/>
      <w:marBottom w:val="0"/>
      <w:divBdr>
        <w:top w:val="none" w:sz="0" w:space="0" w:color="auto"/>
        <w:left w:val="none" w:sz="0" w:space="0" w:color="auto"/>
        <w:bottom w:val="none" w:sz="0" w:space="0" w:color="auto"/>
        <w:right w:val="none" w:sz="0" w:space="0" w:color="auto"/>
      </w:divBdr>
      <w:divsChild>
        <w:div w:id="716972778">
          <w:marLeft w:val="0"/>
          <w:marRight w:val="0"/>
          <w:marTop w:val="0"/>
          <w:marBottom w:val="0"/>
          <w:divBdr>
            <w:top w:val="none" w:sz="0" w:space="0" w:color="auto"/>
            <w:left w:val="none" w:sz="0" w:space="0" w:color="auto"/>
            <w:bottom w:val="none" w:sz="0" w:space="0" w:color="auto"/>
            <w:right w:val="none" w:sz="0" w:space="0" w:color="auto"/>
          </w:divBdr>
          <w:divsChild>
            <w:div w:id="1184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edc60-8135-4939-bcdf-8a08990891a1">
      <Terms xmlns="http://schemas.microsoft.com/office/infopath/2007/PartnerControls"/>
    </lcf76f155ced4ddcb4097134ff3c332f>
    <TaxCatchAll xmlns="bc74b48f-b445-4ba3-84c5-a4d09c5c8d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1B5451E5AB4F46931F9CF366286ADA" ma:contentTypeVersion="16" ma:contentTypeDescription="Vytvoří nový dokument" ma:contentTypeScope="" ma:versionID="a5be929534f22a45771c56805e7515f5">
  <xsd:schema xmlns:xsd="http://www.w3.org/2001/XMLSchema" xmlns:xs="http://www.w3.org/2001/XMLSchema" xmlns:p="http://schemas.microsoft.com/office/2006/metadata/properties" xmlns:ns2="436edc60-8135-4939-bcdf-8a08990891a1" xmlns:ns3="bc74b48f-b445-4ba3-84c5-a4d09c5c8d33" targetNamespace="http://schemas.microsoft.com/office/2006/metadata/properties" ma:root="true" ma:fieldsID="dc1029eef7cbe6e31eae0bc1cfb9ed46" ns2:_="" ns3:_="">
    <xsd:import namespace="436edc60-8135-4939-bcdf-8a08990891a1"/>
    <xsd:import namespace="bc74b48f-b445-4ba3-84c5-a4d09c5c8d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edc60-8135-4939-bcdf-8a0899089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8e663f6-7e9f-4689-ba89-28681d3eac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4b48f-b445-4ba3-84c5-a4d09c5c8d33"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60e7c0f-8cbd-4e3f-b9dd-c87781957732}" ma:internalName="TaxCatchAll" ma:showField="CatchAllData" ma:web="bc74b48f-b445-4ba3-84c5-a4d09c5c8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B9A06-A68D-4397-955C-5985816E781A}">
  <ds:schemaRefs>
    <ds:schemaRef ds:uri="http://schemas.microsoft.com/office/2006/metadata/properties"/>
    <ds:schemaRef ds:uri="http://schemas.microsoft.com/office/infopath/2007/PartnerControls"/>
    <ds:schemaRef ds:uri="436edc60-8135-4939-bcdf-8a08990891a1"/>
    <ds:schemaRef ds:uri="bc74b48f-b445-4ba3-84c5-a4d09c5c8d33"/>
  </ds:schemaRefs>
</ds:datastoreItem>
</file>

<file path=customXml/itemProps2.xml><?xml version="1.0" encoding="utf-8"?>
<ds:datastoreItem xmlns:ds="http://schemas.openxmlformats.org/officeDocument/2006/customXml" ds:itemID="{E699FB9A-E1F0-492B-860B-DC8247163900}">
  <ds:schemaRefs>
    <ds:schemaRef ds:uri="http://schemas.openxmlformats.org/officeDocument/2006/bibliography"/>
  </ds:schemaRefs>
</ds:datastoreItem>
</file>

<file path=customXml/itemProps3.xml><?xml version="1.0" encoding="utf-8"?>
<ds:datastoreItem xmlns:ds="http://schemas.openxmlformats.org/officeDocument/2006/customXml" ds:itemID="{8EB332A0-491A-49D4-BF0E-B9F2EB4CA57D}">
  <ds:schemaRefs>
    <ds:schemaRef ds:uri="http://schemas.microsoft.com/sharepoint/v3/contenttype/forms"/>
  </ds:schemaRefs>
</ds:datastoreItem>
</file>

<file path=customXml/itemProps4.xml><?xml version="1.0" encoding="utf-8"?>
<ds:datastoreItem xmlns:ds="http://schemas.openxmlformats.org/officeDocument/2006/customXml" ds:itemID="{C4ACA003-B832-435D-BBA3-DD7F3EEF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edc60-8135-4939-bcdf-8a08990891a1"/>
    <ds:schemaRef ds:uri="bc74b48f-b445-4ba3-84c5-a4d09c5c8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1174</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Krátká Jana</dc:creator>
  <cp:lastModifiedBy>Dostál Ondřej</cp:lastModifiedBy>
  <cp:revision>116</cp:revision>
  <cp:lastPrinted>2017-01-12T12:19:00Z</cp:lastPrinted>
  <dcterms:created xsi:type="dcterms:W3CDTF">2017-01-11T08:35:00Z</dcterms:created>
  <dcterms:modified xsi:type="dcterms:W3CDTF">2025-03-03T07:41:00Z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0x010100B71B5451E5AB4F46931F9CF366286ADA</vt:lpwstr>
  </property>
  <property fmtid="{D5CDD505-2E9C-101B-9397-08002B2CF9AE}" pid="3" name="MediaServiceImageTags">
    <vt:lpwstr/>
  </property>
</Properties>
</file>