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A684" w14:textId="05D1DDAE" w:rsidR="009A37CB" w:rsidRPr="00877405" w:rsidRDefault="00E97D2A" w:rsidP="00027F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405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168DB1EE" w14:textId="4C6B796F" w:rsidR="00907FB4" w:rsidRPr="00877405" w:rsidRDefault="00560461" w:rsidP="00194FC9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plán</w:t>
      </w:r>
      <w:r w:rsidR="006B10E8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6B7313" w:rsidRPr="00877405">
        <w:rPr>
          <w:rFonts w:ascii="Times New Roman" w:hAnsi="Times New Roman" w:cs="Times New Roman"/>
          <w:sz w:val="24"/>
          <w:szCs w:val="24"/>
        </w:rPr>
        <w:t xml:space="preserve">rozvoje města Ostravy na </w:t>
      </w:r>
      <w:r w:rsidR="00C74051" w:rsidRPr="00877405">
        <w:rPr>
          <w:rFonts w:ascii="Times New Roman" w:hAnsi="Times New Roman" w:cs="Times New Roman"/>
          <w:sz w:val="24"/>
          <w:szCs w:val="24"/>
        </w:rPr>
        <w:t>období 2024-2030</w:t>
      </w:r>
      <w:r w:rsidR="006B7313" w:rsidRPr="00877405">
        <w:rPr>
          <w:rFonts w:ascii="Times New Roman" w:hAnsi="Times New Roman" w:cs="Times New Roman"/>
          <w:sz w:val="24"/>
          <w:szCs w:val="24"/>
        </w:rPr>
        <w:t xml:space="preserve"> (dále jen SPRM) </w:t>
      </w:r>
      <w:r w:rsidR="005E6761" w:rsidRPr="00877405">
        <w:rPr>
          <w:rFonts w:ascii="Times New Roman" w:hAnsi="Times New Roman" w:cs="Times New Roman"/>
          <w:sz w:val="24"/>
          <w:szCs w:val="24"/>
        </w:rPr>
        <w:t>stanovuje</w:t>
      </w:r>
      <w:r w:rsidR="00F11EB5" w:rsidRPr="00877405">
        <w:rPr>
          <w:rFonts w:ascii="Times New Roman" w:hAnsi="Times New Roman" w:cs="Times New Roman"/>
          <w:sz w:val="24"/>
          <w:szCs w:val="24"/>
        </w:rPr>
        <w:t xml:space="preserve"> priority rozvoje a navrhuje účinná řešení jejich naplnění</w:t>
      </w:r>
      <w:r w:rsidR="0034114D" w:rsidRPr="00386921">
        <w:rPr>
          <w:rFonts w:ascii="Times New Roman" w:hAnsi="Times New Roman" w:cs="Times New Roman"/>
          <w:sz w:val="24"/>
          <w:szCs w:val="24"/>
        </w:rPr>
        <w:t>,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 jejichž realizace bude plynule navazovat na </w:t>
      </w:r>
      <w:r w:rsidR="0014322E" w:rsidRPr="00877405">
        <w:rPr>
          <w:rFonts w:ascii="Times New Roman" w:hAnsi="Times New Roman" w:cs="Times New Roman"/>
          <w:sz w:val="24"/>
          <w:szCs w:val="24"/>
        </w:rPr>
        <w:t>předchozí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 Strategický plán na období 2017-2023.</w:t>
      </w:r>
      <w:r w:rsidR="00F11EB5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194FC9" w:rsidRPr="00877405">
        <w:rPr>
          <w:rFonts w:ascii="Times New Roman" w:hAnsi="Times New Roman" w:cs="Times New Roman"/>
          <w:sz w:val="24"/>
          <w:szCs w:val="24"/>
        </w:rPr>
        <w:t xml:space="preserve">Období platnosti 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nového </w:t>
      </w:r>
      <w:r w:rsidR="00194FC9" w:rsidRPr="00877405">
        <w:rPr>
          <w:rFonts w:ascii="Times New Roman" w:hAnsi="Times New Roman" w:cs="Times New Roman"/>
          <w:sz w:val="24"/>
          <w:szCs w:val="24"/>
        </w:rPr>
        <w:t>Strategického plánu je do roku 2030</w:t>
      </w:r>
      <w:r w:rsidR="00A146D4" w:rsidRPr="00877405">
        <w:rPr>
          <w:rFonts w:ascii="Times New Roman" w:hAnsi="Times New Roman" w:cs="Times New Roman"/>
          <w:sz w:val="24"/>
          <w:szCs w:val="24"/>
        </w:rPr>
        <w:t>, včetně většiny klíčových ukazatelů</w:t>
      </w:r>
      <w:r w:rsidR="00194FC9" w:rsidRPr="00877405">
        <w:rPr>
          <w:rFonts w:ascii="Times New Roman" w:hAnsi="Times New Roman" w:cs="Times New Roman"/>
          <w:sz w:val="24"/>
          <w:szCs w:val="24"/>
        </w:rPr>
        <w:t>, vize je dlouhodobá do roku 2040. Návrhy aktivit, projektů a cílů jsou ve Strategickém plánu nastaveny jako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94FC9" w:rsidRPr="00877405">
        <w:rPr>
          <w:rFonts w:ascii="Times New Roman" w:hAnsi="Times New Roman" w:cs="Times New Roman"/>
          <w:sz w:val="24"/>
          <w:szCs w:val="24"/>
        </w:rPr>
        <w:t>střednědobé pro realizaci v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94FC9" w:rsidRPr="00877405">
        <w:rPr>
          <w:rFonts w:ascii="Times New Roman" w:hAnsi="Times New Roman" w:cs="Times New Roman"/>
          <w:sz w:val="24"/>
          <w:szCs w:val="24"/>
        </w:rPr>
        <w:t>období 2024-2030.</w:t>
      </w:r>
    </w:p>
    <w:p w14:paraId="3B9A89D2" w14:textId="0CC42F91" w:rsidR="00194FC9" w:rsidRPr="00877405" w:rsidRDefault="00A146D4" w:rsidP="00194FC9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Vyhodnocení </w:t>
      </w:r>
      <w:r w:rsidR="0014322E" w:rsidRPr="00877405">
        <w:rPr>
          <w:rFonts w:ascii="Times New Roman" w:hAnsi="Times New Roman" w:cs="Times New Roman"/>
          <w:sz w:val="24"/>
          <w:szCs w:val="24"/>
        </w:rPr>
        <w:t>předchozího</w:t>
      </w:r>
      <w:r w:rsidRPr="00877405">
        <w:rPr>
          <w:rFonts w:ascii="Times New Roman" w:hAnsi="Times New Roman" w:cs="Times New Roman"/>
          <w:sz w:val="24"/>
          <w:szCs w:val="24"/>
        </w:rPr>
        <w:t xml:space="preserve"> Strategického plánu probíhalo každoročně skrze sledování ukazatelů úspěchu a realizace strategických projektů z Akčního plánu</w:t>
      </w:r>
      <w:r w:rsidR="00907FB4" w:rsidRPr="00877405">
        <w:rPr>
          <w:rFonts w:ascii="Times New Roman" w:hAnsi="Times New Roman" w:cs="Times New Roman"/>
          <w:sz w:val="24"/>
          <w:szCs w:val="24"/>
        </w:rPr>
        <w:t>.</w:t>
      </w:r>
      <w:r w:rsidRPr="00877405">
        <w:rPr>
          <w:rFonts w:ascii="Times New Roman" w:hAnsi="Times New Roman" w:cs="Times New Roman"/>
          <w:sz w:val="24"/>
          <w:szCs w:val="24"/>
        </w:rPr>
        <w:t xml:space="preserve"> V rámci analytické části tvorby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nového </w:t>
      </w:r>
      <w:r w:rsidRPr="00877405">
        <w:rPr>
          <w:rFonts w:ascii="Times New Roman" w:hAnsi="Times New Roman" w:cs="Times New Roman"/>
          <w:sz w:val="24"/>
          <w:szCs w:val="24"/>
        </w:rPr>
        <w:t xml:space="preserve">plánu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pak </w:t>
      </w:r>
      <w:r w:rsidRPr="00877405">
        <w:rPr>
          <w:rFonts w:ascii="Times New Roman" w:hAnsi="Times New Roman" w:cs="Times New Roman"/>
          <w:sz w:val="24"/>
          <w:szCs w:val="24"/>
        </w:rPr>
        <w:t xml:space="preserve">byly </w:t>
      </w:r>
      <w:r w:rsidR="0014322E" w:rsidRPr="00877405">
        <w:rPr>
          <w:rFonts w:ascii="Times New Roman" w:hAnsi="Times New Roman" w:cs="Times New Roman"/>
          <w:sz w:val="24"/>
          <w:szCs w:val="24"/>
        </w:rPr>
        <w:t>z</w:t>
      </w:r>
      <w:r w:rsidRPr="00877405">
        <w:rPr>
          <w:rFonts w:ascii="Times New Roman" w:hAnsi="Times New Roman" w:cs="Times New Roman"/>
          <w:sz w:val="24"/>
          <w:szCs w:val="24"/>
        </w:rPr>
        <w:t xml:space="preserve">revidovány aktivity a opatření </w:t>
      </w:r>
      <w:r w:rsidR="0014322E" w:rsidRPr="00877405">
        <w:rPr>
          <w:rFonts w:ascii="Times New Roman" w:hAnsi="Times New Roman" w:cs="Times New Roman"/>
          <w:sz w:val="24"/>
          <w:szCs w:val="24"/>
        </w:rPr>
        <w:t>a po projednání na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pracovních skupinách tvorby nového plánu do něj následně promítnuty. </w:t>
      </w:r>
      <w:r w:rsidR="00194FC9" w:rsidRPr="00877405">
        <w:rPr>
          <w:rFonts w:ascii="Times New Roman" w:hAnsi="Times New Roman" w:cs="Times New Roman"/>
          <w:sz w:val="24"/>
          <w:szCs w:val="24"/>
        </w:rPr>
        <w:t xml:space="preserve">Měření a hodnocení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plánu </w:t>
      </w:r>
      <w:r w:rsidR="00194FC9" w:rsidRPr="00877405">
        <w:rPr>
          <w:rFonts w:ascii="Times New Roman" w:hAnsi="Times New Roman" w:cs="Times New Roman"/>
          <w:sz w:val="24"/>
          <w:szCs w:val="24"/>
        </w:rPr>
        <w:t>bude probíhat i</w:t>
      </w:r>
      <w:r w:rsidR="00027F11">
        <w:rPr>
          <w:rFonts w:ascii="Times New Roman" w:hAnsi="Times New Roman" w:cs="Times New Roman"/>
          <w:sz w:val="24"/>
          <w:szCs w:val="24"/>
        </w:rPr>
        <w:t> </w:t>
      </w:r>
      <w:r w:rsidR="00194FC9" w:rsidRPr="00877405">
        <w:rPr>
          <w:rFonts w:ascii="Times New Roman" w:hAnsi="Times New Roman" w:cs="Times New Roman"/>
          <w:sz w:val="24"/>
          <w:szCs w:val="24"/>
        </w:rPr>
        <w:t>nadále kontinuálně s každoročním vyhodnocením.</w:t>
      </w:r>
    </w:p>
    <w:p w14:paraId="7EA9A371" w14:textId="32A621EB" w:rsidR="006B7313" w:rsidRPr="00877405" w:rsidRDefault="006B7313" w:rsidP="00027F11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Průběh a metodika zpracování</w:t>
      </w:r>
    </w:p>
    <w:p w14:paraId="3C00D603" w14:textId="482D1BE3" w:rsidR="004648E2" w:rsidRPr="00877405" w:rsidRDefault="00A26451" w:rsidP="004648E2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Přístup k procesu zpracování </w:t>
      </w:r>
      <w:r w:rsidR="006B10E8" w:rsidRPr="00877405">
        <w:rPr>
          <w:rFonts w:ascii="Times New Roman" w:hAnsi="Times New Roman" w:cs="Times New Roman"/>
          <w:sz w:val="24"/>
          <w:szCs w:val="24"/>
        </w:rPr>
        <w:t>SPRM</w:t>
      </w:r>
      <w:r w:rsidRPr="00877405">
        <w:rPr>
          <w:rFonts w:ascii="Times New Roman" w:hAnsi="Times New Roman" w:cs="Times New Roman"/>
          <w:sz w:val="24"/>
          <w:szCs w:val="24"/>
        </w:rPr>
        <w:t xml:space="preserve"> byl postaven na komunikaci, koordinaci a spolupráci v</w:t>
      </w:r>
      <w:r w:rsidR="00194FC9" w:rsidRPr="00877405">
        <w:rPr>
          <w:rFonts w:ascii="Times New Roman" w:hAnsi="Times New Roman" w:cs="Times New Roman"/>
          <w:sz w:val="24"/>
          <w:szCs w:val="24"/>
        </w:rPr>
        <w:t> </w:t>
      </w:r>
      <w:r w:rsidRPr="00877405">
        <w:rPr>
          <w:rFonts w:ascii="Times New Roman" w:hAnsi="Times New Roman" w:cs="Times New Roman"/>
          <w:sz w:val="24"/>
          <w:szCs w:val="24"/>
        </w:rPr>
        <w:t xml:space="preserve">rámci zpracovatelského týmu, </w:t>
      </w:r>
      <w:r w:rsidR="006B10E8" w:rsidRPr="00877405">
        <w:rPr>
          <w:rFonts w:ascii="Times New Roman" w:hAnsi="Times New Roman" w:cs="Times New Roman"/>
          <w:sz w:val="24"/>
          <w:szCs w:val="24"/>
        </w:rPr>
        <w:t>odborníků i veřejnosti</w:t>
      </w:r>
      <w:r w:rsidR="00907FB4" w:rsidRPr="00877405">
        <w:rPr>
          <w:rFonts w:ascii="Times New Roman" w:hAnsi="Times New Roman" w:cs="Times New Roman"/>
          <w:sz w:val="24"/>
          <w:szCs w:val="24"/>
        </w:rPr>
        <w:t>, podobně jako v případě předchozího plánu</w:t>
      </w:r>
      <w:r w:rsidR="006B10E8" w:rsidRPr="00877405">
        <w:rPr>
          <w:rFonts w:ascii="Times New Roman" w:hAnsi="Times New Roman" w:cs="Times New Roman"/>
          <w:sz w:val="24"/>
          <w:szCs w:val="24"/>
        </w:rPr>
        <w:t>.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Příprava </w:t>
      </w:r>
      <w:r w:rsidR="00307F03" w:rsidRPr="00877405">
        <w:rPr>
          <w:rFonts w:ascii="Times New Roman" w:hAnsi="Times New Roman" w:cs="Times New Roman"/>
          <w:sz w:val="24"/>
          <w:szCs w:val="24"/>
        </w:rPr>
        <w:t xml:space="preserve">SPRM 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probíhala </w:t>
      </w:r>
      <w:r w:rsidR="00E424D5" w:rsidRPr="00877405">
        <w:rPr>
          <w:rFonts w:ascii="Times New Roman" w:hAnsi="Times New Roman" w:cs="Times New Roman"/>
          <w:sz w:val="24"/>
          <w:szCs w:val="24"/>
        </w:rPr>
        <w:t>od počátku roku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 2023. První fází plánovacího procesu bylo zpracování Analytické zprávy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2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), která sloužila jako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4648E2" w:rsidRPr="00877405">
        <w:rPr>
          <w:rFonts w:ascii="Times New Roman" w:hAnsi="Times New Roman" w:cs="Times New Roman"/>
          <w:sz w:val="24"/>
          <w:szCs w:val="24"/>
        </w:rPr>
        <w:t>klíčový podklad pro 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následnou revizi </w:t>
      </w:r>
      <w:r w:rsidR="004648E2" w:rsidRPr="00877405">
        <w:rPr>
          <w:rFonts w:ascii="Times New Roman" w:hAnsi="Times New Roman" w:cs="Times New Roman"/>
          <w:sz w:val="24"/>
          <w:szCs w:val="24"/>
        </w:rPr>
        <w:t>vize, rozvojových priorit</w:t>
      </w:r>
      <w:r w:rsidR="00E424D5" w:rsidRPr="00877405">
        <w:rPr>
          <w:rFonts w:ascii="Times New Roman" w:hAnsi="Times New Roman" w:cs="Times New Roman"/>
          <w:sz w:val="24"/>
          <w:szCs w:val="24"/>
        </w:rPr>
        <w:t>,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 cílů 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a klíčových oblastí </w:t>
      </w:r>
      <w:r w:rsidR="004648E2" w:rsidRPr="00877405">
        <w:rPr>
          <w:rFonts w:ascii="Times New Roman" w:hAnsi="Times New Roman" w:cs="Times New Roman"/>
          <w:sz w:val="24"/>
          <w:szCs w:val="24"/>
        </w:rPr>
        <w:t>v rámci Návrhové části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1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). Strategický plán byl vytvořen v úzké spolupráci s vedením města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, odbory </w:t>
      </w:r>
      <w:r w:rsidR="004648E2" w:rsidRPr="00877405">
        <w:rPr>
          <w:rFonts w:ascii="Times New Roman" w:hAnsi="Times New Roman" w:cs="Times New Roman"/>
          <w:sz w:val="24"/>
          <w:szCs w:val="24"/>
        </w:rPr>
        <w:t>Magistrátu</w:t>
      </w:r>
      <w:r w:rsidR="00E424D5" w:rsidRPr="00877405">
        <w:rPr>
          <w:rFonts w:ascii="Times New Roman" w:hAnsi="Times New Roman" w:cs="Times New Roman"/>
          <w:sz w:val="24"/>
          <w:szCs w:val="24"/>
        </w:rPr>
        <w:t>, městskými organizacemi a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řadou dalších klíčových organizací a </w:t>
      </w:r>
      <w:r w:rsidR="004648E2" w:rsidRPr="00877405">
        <w:rPr>
          <w:rFonts w:ascii="Times New Roman" w:hAnsi="Times New Roman" w:cs="Times New Roman"/>
          <w:sz w:val="24"/>
          <w:szCs w:val="24"/>
        </w:rPr>
        <w:t>aktér</w:t>
      </w:r>
      <w:r w:rsidR="00E424D5" w:rsidRPr="00877405">
        <w:rPr>
          <w:rFonts w:ascii="Times New Roman" w:hAnsi="Times New Roman" w:cs="Times New Roman"/>
          <w:sz w:val="24"/>
          <w:szCs w:val="24"/>
        </w:rPr>
        <w:t>ů ve městě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. </w:t>
      </w:r>
      <w:r w:rsidR="00F9641C" w:rsidRPr="00877405">
        <w:rPr>
          <w:rFonts w:ascii="Times New Roman" w:hAnsi="Times New Roman" w:cs="Times New Roman"/>
          <w:sz w:val="24"/>
          <w:szCs w:val="24"/>
        </w:rPr>
        <w:t>Průběh</w:t>
      </w:r>
      <w:r w:rsidRPr="00877405"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F9641C" w:rsidRPr="00877405">
        <w:rPr>
          <w:rFonts w:ascii="Times New Roman" w:hAnsi="Times New Roman" w:cs="Times New Roman"/>
          <w:sz w:val="24"/>
          <w:szCs w:val="24"/>
        </w:rPr>
        <w:t>a výstupy z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F9641C" w:rsidRPr="00877405">
        <w:rPr>
          <w:rFonts w:ascii="Times New Roman" w:hAnsi="Times New Roman" w:cs="Times New Roman"/>
          <w:sz w:val="24"/>
          <w:szCs w:val="24"/>
        </w:rPr>
        <w:t xml:space="preserve">klíčových etap byly průběžně </w:t>
      </w:r>
      <w:r w:rsidRPr="00877405">
        <w:rPr>
          <w:rFonts w:ascii="Times New Roman" w:hAnsi="Times New Roman" w:cs="Times New Roman"/>
          <w:sz w:val="24"/>
          <w:szCs w:val="24"/>
        </w:rPr>
        <w:t>projednáván</w:t>
      </w:r>
      <w:r w:rsidR="00F9641C" w:rsidRPr="00877405">
        <w:rPr>
          <w:rFonts w:ascii="Times New Roman" w:hAnsi="Times New Roman" w:cs="Times New Roman"/>
          <w:sz w:val="24"/>
          <w:szCs w:val="24"/>
        </w:rPr>
        <w:t>y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F9641C" w:rsidRPr="00877405">
        <w:rPr>
          <w:rFonts w:ascii="Times New Roman" w:hAnsi="Times New Roman" w:cs="Times New Roman"/>
          <w:sz w:val="24"/>
          <w:szCs w:val="24"/>
        </w:rPr>
        <w:t>s Komisí pro</w:t>
      </w:r>
      <w:r w:rsidR="00194FC9" w:rsidRPr="00877405">
        <w:rPr>
          <w:rFonts w:ascii="Times New Roman" w:hAnsi="Times New Roman" w:cs="Times New Roman"/>
          <w:sz w:val="24"/>
          <w:szCs w:val="24"/>
        </w:rPr>
        <w:t> </w:t>
      </w:r>
      <w:r w:rsidR="00F9641C" w:rsidRPr="00877405">
        <w:rPr>
          <w:rFonts w:ascii="Times New Roman" w:hAnsi="Times New Roman" w:cs="Times New Roman"/>
          <w:sz w:val="24"/>
          <w:szCs w:val="24"/>
        </w:rPr>
        <w:t>strategický rozvoj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 a energetiku</w:t>
      </w:r>
      <w:r w:rsidR="00F9641C" w:rsidRPr="00877405">
        <w:rPr>
          <w:rFonts w:ascii="Times New Roman" w:hAnsi="Times New Roman" w:cs="Times New Roman"/>
          <w:sz w:val="24"/>
          <w:szCs w:val="24"/>
        </w:rPr>
        <w:t>.</w:t>
      </w:r>
    </w:p>
    <w:p w14:paraId="67743770" w14:textId="0B64126B" w:rsidR="00190D1A" w:rsidRPr="00877405" w:rsidRDefault="00F9641C" w:rsidP="004648E2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Do přípravy </w:t>
      </w:r>
      <w:r w:rsidR="00307F03" w:rsidRPr="00877405">
        <w:rPr>
          <w:rFonts w:ascii="Times New Roman" w:hAnsi="Times New Roman" w:cs="Times New Roman"/>
          <w:sz w:val="24"/>
          <w:szCs w:val="24"/>
        </w:rPr>
        <w:t>SPRM</w:t>
      </w:r>
      <w:r w:rsidRPr="00877405">
        <w:rPr>
          <w:rFonts w:ascii="Times New Roman" w:hAnsi="Times New Roman" w:cs="Times New Roman"/>
          <w:sz w:val="24"/>
          <w:szCs w:val="24"/>
        </w:rPr>
        <w:t xml:space="preserve"> byl</w:t>
      </w:r>
      <w:r w:rsidR="00307F03" w:rsidRPr="00877405">
        <w:rPr>
          <w:rFonts w:ascii="Times New Roman" w:hAnsi="Times New Roman" w:cs="Times New Roman"/>
          <w:sz w:val="24"/>
          <w:szCs w:val="24"/>
        </w:rPr>
        <w:t>i</w:t>
      </w:r>
      <w:r w:rsidRPr="00877405">
        <w:rPr>
          <w:rFonts w:ascii="Times New Roman" w:hAnsi="Times New Roman" w:cs="Times New Roman"/>
          <w:sz w:val="24"/>
          <w:szCs w:val="24"/>
        </w:rPr>
        <w:t xml:space="preserve"> dále zapojení odborníci za relevantní organizace dle tematických okruhů prostřednictvím </w:t>
      </w:r>
      <w:r w:rsidRPr="00877405">
        <w:rPr>
          <w:rFonts w:ascii="Times New Roman" w:hAnsi="Times New Roman" w:cs="Times New Roman"/>
          <w:b/>
          <w:sz w:val="24"/>
          <w:szCs w:val="24"/>
        </w:rPr>
        <w:t>p</w:t>
      </w:r>
      <w:r w:rsidR="00A26451" w:rsidRPr="00877405">
        <w:rPr>
          <w:rFonts w:ascii="Times New Roman" w:hAnsi="Times New Roman" w:cs="Times New Roman"/>
          <w:b/>
          <w:sz w:val="24"/>
          <w:szCs w:val="24"/>
        </w:rPr>
        <w:t>racovní</w:t>
      </w:r>
      <w:r w:rsidRPr="00877405">
        <w:rPr>
          <w:rFonts w:ascii="Times New Roman" w:hAnsi="Times New Roman" w:cs="Times New Roman"/>
          <w:b/>
          <w:sz w:val="24"/>
          <w:szCs w:val="24"/>
        </w:rPr>
        <w:t>ch skupin</w:t>
      </w:r>
      <w:r w:rsidR="00190D1A" w:rsidRPr="008774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které se sešly </w:t>
      </w:r>
      <w:r w:rsidR="004648E2" w:rsidRPr="00877405">
        <w:rPr>
          <w:rFonts w:ascii="Times New Roman" w:hAnsi="Times New Roman" w:cs="Times New Roman"/>
          <w:sz w:val="24"/>
          <w:szCs w:val="24"/>
        </w:rPr>
        <w:t>opakovaně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2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</w:t>
      </w:r>
      <w:r w:rsidR="00965529" w:rsidRPr="00877405">
        <w:rPr>
          <w:rFonts w:ascii="Times New Roman" w:hAnsi="Times New Roman" w:cs="Times New Roman"/>
          <w:sz w:val="24"/>
          <w:szCs w:val="24"/>
        </w:rPr>
        <w:t xml:space="preserve">. </w:t>
      </w:r>
      <w:r w:rsidR="00034C06" w:rsidRPr="00877405">
        <w:rPr>
          <w:rFonts w:ascii="Times New Roman" w:hAnsi="Times New Roman" w:cs="Times New Roman"/>
          <w:sz w:val="24"/>
          <w:szCs w:val="24"/>
        </w:rPr>
        <w:t>Velmi významné pro</w:t>
      </w:r>
      <w:r w:rsidR="004648E2" w:rsidRPr="00877405">
        <w:rPr>
          <w:rFonts w:ascii="Times New Roman" w:hAnsi="Times New Roman" w:cs="Times New Roman"/>
          <w:sz w:val="24"/>
          <w:szCs w:val="24"/>
        </w:rPr>
        <w:t> </w:t>
      </w:r>
      <w:r w:rsidR="00034C06" w:rsidRPr="00877405">
        <w:rPr>
          <w:rFonts w:ascii="Times New Roman" w:hAnsi="Times New Roman" w:cs="Times New Roman"/>
          <w:sz w:val="24"/>
          <w:szCs w:val="24"/>
        </w:rPr>
        <w:t>přípravu strategie bylo</w:t>
      </w:r>
      <w:r w:rsidR="00A26451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034C06" w:rsidRPr="00877405">
        <w:rPr>
          <w:rFonts w:ascii="Times New Roman" w:hAnsi="Times New Roman" w:cs="Times New Roman"/>
          <w:b/>
          <w:sz w:val="24"/>
          <w:szCs w:val="24"/>
        </w:rPr>
        <w:t>zapojení veřejnosti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prostřednictvím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dotazníků</w:t>
      </w:r>
      <w:r w:rsidR="00034C06" w:rsidRPr="00877405">
        <w:rPr>
          <w:rFonts w:ascii="Times New Roman" w:hAnsi="Times New Roman" w:cs="Times New Roman"/>
          <w:sz w:val="24"/>
          <w:szCs w:val="24"/>
        </w:rPr>
        <w:t>, pocitov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ých </w:t>
      </w:r>
      <w:r w:rsidR="00034C06" w:rsidRPr="00877405">
        <w:rPr>
          <w:rFonts w:ascii="Times New Roman" w:hAnsi="Times New Roman" w:cs="Times New Roman"/>
          <w:sz w:val="24"/>
          <w:szCs w:val="24"/>
        </w:rPr>
        <w:t>map</w:t>
      </w:r>
      <w:r w:rsidR="003D5048" w:rsidRPr="00877405">
        <w:rPr>
          <w:rFonts w:ascii="Times New Roman" w:hAnsi="Times New Roman" w:cs="Times New Roman"/>
          <w:sz w:val="24"/>
          <w:szCs w:val="24"/>
        </w:rPr>
        <w:t xml:space="preserve"> (viz </w:t>
      </w:r>
      <w:r w:rsidR="0034114D" w:rsidRPr="00877405">
        <w:rPr>
          <w:rFonts w:ascii="Times New Roman" w:hAnsi="Times New Roman" w:cs="Times New Roman"/>
          <w:sz w:val="24"/>
          <w:szCs w:val="24"/>
        </w:rPr>
        <w:t>příloha č. 2 předloženého materiálu</w:t>
      </w:r>
      <w:r w:rsidR="003D5048" w:rsidRPr="00877405">
        <w:rPr>
          <w:rFonts w:ascii="Times New Roman" w:hAnsi="Times New Roman" w:cs="Times New Roman"/>
          <w:sz w:val="24"/>
          <w:szCs w:val="24"/>
        </w:rPr>
        <w:t>)</w:t>
      </w:r>
      <w:r w:rsidR="00965529" w:rsidRPr="00877405">
        <w:rPr>
          <w:rFonts w:ascii="Times New Roman" w:hAnsi="Times New Roman" w:cs="Times New Roman"/>
          <w:sz w:val="24"/>
          <w:szCs w:val="24"/>
        </w:rPr>
        <w:t>,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konkrétních akcí</w:t>
      </w:r>
      <w:r w:rsidR="00307F03" w:rsidRPr="00877405">
        <w:rPr>
          <w:rFonts w:ascii="Times New Roman" w:hAnsi="Times New Roman" w:cs="Times New Roman"/>
          <w:sz w:val="24"/>
          <w:szCs w:val="24"/>
        </w:rPr>
        <w:t xml:space="preserve"> s veřejností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spojených s</w:t>
      </w:r>
      <w:r w:rsidR="003D5048" w:rsidRPr="00877405">
        <w:rPr>
          <w:rFonts w:ascii="Times New Roman" w:hAnsi="Times New Roman" w:cs="Times New Roman"/>
          <w:sz w:val="24"/>
          <w:szCs w:val="24"/>
        </w:rPr>
        <w:t> </w:t>
      </w:r>
      <w:r w:rsidR="00BB01CE" w:rsidRPr="00877405">
        <w:rPr>
          <w:rFonts w:ascii="Times New Roman" w:hAnsi="Times New Roman" w:cs="Times New Roman"/>
          <w:sz w:val="24"/>
          <w:szCs w:val="24"/>
        </w:rPr>
        <w:t>diskuzí</w:t>
      </w:r>
      <w:r w:rsidR="003D5048" w:rsidRPr="00877405">
        <w:rPr>
          <w:rFonts w:ascii="Times New Roman" w:hAnsi="Times New Roman" w:cs="Times New Roman"/>
          <w:sz w:val="24"/>
          <w:szCs w:val="24"/>
        </w:rPr>
        <w:t xml:space="preserve"> (seznam akcí 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1 předloženého materiálu</w:t>
      </w:r>
      <w:r w:rsidR="003D5048" w:rsidRPr="00877405">
        <w:rPr>
          <w:rFonts w:ascii="Times New Roman" w:hAnsi="Times New Roman" w:cs="Times New Roman"/>
          <w:sz w:val="24"/>
          <w:szCs w:val="24"/>
        </w:rPr>
        <w:t>)</w:t>
      </w:r>
      <w:r w:rsidR="00BB01CE" w:rsidRPr="00877405">
        <w:rPr>
          <w:rFonts w:ascii="Times New Roman" w:hAnsi="Times New Roman" w:cs="Times New Roman"/>
          <w:sz w:val="24"/>
          <w:szCs w:val="24"/>
        </w:rPr>
        <w:t>,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informování na </w:t>
      </w:r>
      <w:r w:rsidR="00965529" w:rsidRPr="00877405">
        <w:rPr>
          <w:rFonts w:ascii="Times New Roman" w:hAnsi="Times New Roman" w:cs="Times New Roman"/>
          <w:sz w:val="24"/>
          <w:szCs w:val="24"/>
        </w:rPr>
        <w:t>webu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a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034C06" w:rsidRPr="00877405">
        <w:rPr>
          <w:rFonts w:ascii="Times New Roman" w:hAnsi="Times New Roman" w:cs="Times New Roman"/>
          <w:sz w:val="24"/>
          <w:szCs w:val="24"/>
        </w:rPr>
        <w:t>sociálních sítí</w:t>
      </w:r>
      <w:r w:rsidR="00190D1A" w:rsidRPr="00877405">
        <w:rPr>
          <w:rFonts w:ascii="Times New Roman" w:hAnsi="Times New Roman" w:cs="Times New Roman"/>
          <w:sz w:val="24"/>
          <w:szCs w:val="24"/>
        </w:rPr>
        <w:t>ch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. V průběhu celého procesu bylo takto zapojeno zhruba 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13 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tisíc </w:t>
      </w:r>
      <w:r w:rsidR="00C74051" w:rsidRPr="00877405">
        <w:rPr>
          <w:rFonts w:ascii="Times New Roman" w:hAnsi="Times New Roman" w:cs="Times New Roman"/>
          <w:sz w:val="24"/>
          <w:szCs w:val="24"/>
        </w:rPr>
        <w:t>o</w:t>
      </w:r>
      <w:r w:rsidR="00BB01CE" w:rsidRPr="00877405">
        <w:rPr>
          <w:rFonts w:ascii="Times New Roman" w:hAnsi="Times New Roman" w:cs="Times New Roman"/>
          <w:sz w:val="24"/>
          <w:szCs w:val="24"/>
        </w:rPr>
        <w:t>sob.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7FB1FB" w14:textId="7F35DCF2" w:rsidR="00B864E8" w:rsidRPr="00877405" w:rsidRDefault="00190D1A" w:rsidP="00027F11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Vize</w:t>
      </w:r>
      <w:r w:rsidR="00194FC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, priority a</w:t>
      </w:r>
      <w:r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</w:t>
      </w:r>
      <w:r w:rsidR="0096552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trategické </w:t>
      </w:r>
      <w:r w:rsidR="00194FC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96552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íle SPRM</w:t>
      </w:r>
    </w:p>
    <w:p w14:paraId="6DDBD268" w14:textId="6129DE16" w:rsidR="00190D1A" w:rsidRPr="00877405" w:rsidRDefault="00190D1A" w:rsidP="00877405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Toc470263426"/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VIZE OSTRAVY 20</w:t>
      </w:r>
      <w:r w:rsidR="00C74051"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4</w:t>
      </w:r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0</w:t>
      </w:r>
      <w:bookmarkEnd w:id="0"/>
    </w:p>
    <w:p w14:paraId="45472837" w14:textId="04237980" w:rsidR="00194FC9" w:rsidRPr="00877405" w:rsidRDefault="00190D1A" w:rsidP="00027F11">
      <w:pPr>
        <w:pStyle w:val="Nadpis1"/>
        <w:numPr>
          <w:ilvl w:val="0"/>
          <w:numId w:val="0"/>
        </w:numPr>
        <w:spacing w:before="0" w:after="0" w:line="360" w:lineRule="auto"/>
        <w:ind w:left="357" w:hanging="35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774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Ostrava je město pro nové začátky!!!</w:t>
      </w:r>
    </w:p>
    <w:p w14:paraId="1F66FE14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blíže světu, lidem a přírodě.</w:t>
      </w:r>
    </w:p>
    <w:p w14:paraId="4D2DFA77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Ostravě se podařilo zastavit a zvrátit trend odcházení obyvatel.</w:t>
      </w:r>
    </w:p>
    <w:p w14:paraId="77EE7FB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městem, které láká mladé, pracovité a talentované obyvatele.</w:t>
      </w:r>
    </w:p>
    <w:p w14:paraId="13A6A38B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čistá, zelená, moderní, bezpečná, kulturní,</w:t>
      </w:r>
      <w:r w:rsidRPr="00877405" w:rsidDel="00CB01FE">
        <w:rPr>
          <w:rFonts w:ascii="Times New Roman" w:hAnsi="Times New Roman"/>
          <w:sz w:val="24"/>
          <w:szCs w:val="24"/>
        </w:rPr>
        <w:t xml:space="preserve"> </w:t>
      </w:r>
      <w:r w:rsidRPr="00877405">
        <w:rPr>
          <w:rFonts w:ascii="Times New Roman" w:hAnsi="Times New Roman"/>
          <w:sz w:val="24"/>
          <w:szCs w:val="24"/>
        </w:rPr>
        <w:t>přátelská a adaptovaná na změnu klimatu.</w:t>
      </w:r>
    </w:p>
    <w:p w14:paraId="7ADCBBF9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sebevědomé evropské město nabité energií aktivních lidí.</w:t>
      </w:r>
    </w:p>
    <w:p w14:paraId="01242D4E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nabízí vysokou kvalitu života pro všechny generace.</w:t>
      </w:r>
    </w:p>
    <w:p w14:paraId="63EAC7E6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 xml:space="preserve">Ostrava je nadále ekonomickým lídrem regionu a jedním ze tří nejvýznamnějších rozvojových pólů České republiky. </w:t>
      </w:r>
    </w:p>
    <w:p w14:paraId="4103B61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lastRenderedPageBreak/>
        <w:t>Ostrava je viditelná na mapě high-tech měst a technologických firem v Evropě.</w:t>
      </w:r>
    </w:p>
    <w:p w14:paraId="466D9F7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V Ostravě přibývá studentů vysokých škol a vědeckých kapacit.</w:t>
      </w:r>
    </w:p>
    <w:p w14:paraId="768B95E2" w14:textId="49AF68B6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prosperuje díky vzdělaným, podnikavým a kreativním lidem, kteří se aktivně podílí na věcech veřejných. Do města je láká i zajímavá nabídka pracovních pozic a podnikatelských příležitostí.</w:t>
      </w:r>
    </w:p>
    <w:p w14:paraId="6401F064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vyvíjí a využívá inovativní technologie, šetrné k přírodě a životnímu prostředí.</w:t>
      </w:r>
    </w:p>
    <w:p w14:paraId="39701EBF" w14:textId="2381C2B8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se ve svém rozvoji inspiruje úspěšnými projekty realizovanými v evropských a</w:t>
      </w:r>
      <w:r w:rsidR="00D953D8" w:rsidRPr="00877405">
        <w:rPr>
          <w:rFonts w:ascii="Times New Roman" w:hAnsi="Times New Roman"/>
          <w:sz w:val="24"/>
          <w:szCs w:val="24"/>
        </w:rPr>
        <w:t> </w:t>
      </w:r>
      <w:r w:rsidRPr="00877405">
        <w:rPr>
          <w:rFonts w:ascii="Times New Roman" w:hAnsi="Times New Roman"/>
          <w:sz w:val="24"/>
          <w:szCs w:val="24"/>
        </w:rPr>
        <w:t>světových městech.</w:t>
      </w:r>
    </w:p>
    <w:p w14:paraId="69E8B4A5" w14:textId="067B9CEA" w:rsidR="00194FC9" w:rsidRPr="00877405" w:rsidRDefault="00194FC9" w:rsidP="00D953D8">
      <w:pPr>
        <w:pStyle w:val="Odstavecseseznamem"/>
        <w:numPr>
          <w:ilvl w:val="0"/>
          <w:numId w:val="9"/>
        </w:numPr>
        <w:spacing w:after="240"/>
        <w:ind w:left="567" w:hanging="425"/>
        <w:jc w:val="both"/>
      </w:pPr>
      <w:r w:rsidRPr="00877405">
        <w:rPr>
          <w:rFonts w:ascii="Times New Roman" w:hAnsi="Times New Roman"/>
          <w:sz w:val="24"/>
          <w:szCs w:val="24"/>
        </w:rPr>
        <w:t>Nad Ostravou se tyčí jeřáby, rostou investice, přibývá kvalitní architektury a kvalitního bydlení, je propojeno centrum města s DOV a zkrášleny další ulice a čtvrti městských obvodů. Město je připraveno využít příležitosti, které s sebou přináší propojení s vysokorychlostní vlakovou tratí.</w:t>
      </w:r>
    </w:p>
    <w:p w14:paraId="7CE5E6FD" w14:textId="5FEE38A5" w:rsidR="00194FC9" w:rsidRPr="00027F11" w:rsidRDefault="00194FC9" w:rsidP="00027F11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</w:t>
      </w:r>
      <w:r w:rsidR="001A478B"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>PRIORITY</w:t>
      </w:r>
      <w:r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07FB4"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 </w:t>
      </w:r>
      <w:r w:rsidR="001A478B" w:rsidRPr="00027F11">
        <w:rPr>
          <w:rFonts w:ascii="Times New Roman" w:hAnsi="Times New Roman" w:cs="Times New Roman"/>
          <w:b/>
          <w:bCs/>
          <w:iCs/>
          <w:sz w:val="24"/>
          <w:szCs w:val="24"/>
        </w:rPr>
        <w:t>STRATEGICKÝCH CÍLŮ</w:t>
      </w:r>
    </w:p>
    <w:p w14:paraId="0E782C3F" w14:textId="7777777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A – METROPOLE REGIONU</w:t>
      </w:r>
    </w:p>
    <w:p w14:paraId="334624A2" w14:textId="5A4444EA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1: „Propojit město uvnitř i se světem”</w:t>
      </w:r>
    </w:p>
    <w:p w14:paraId="1EA735EA" w14:textId="77777777" w:rsidR="001A478B" w:rsidRPr="00877405" w:rsidRDefault="00A26451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2: „Oživit historické centrum města”</w:t>
      </w:r>
    </w:p>
    <w:p w14:paraId="61D932A9" w14:textId="6AA3880C" w:rsidR="00A26451" w:rsidRPr="00877405" w:rsidRDefault="00A26451" w:rsidP="001A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B – BOHATSTVÍ V LIDECH</w:t>
      </w:r>
    </w:p>
    <w:p w14:paraId="647960F9" w14:textId="089E58B6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3: „Být centrem prvotřídního vzdělávání</w:t>
      </w:r>
      <w:r w:rsidR="001A478B" w:rsidRPr="00877405">
        <w:rPr>
          <w:rFonts w:ascii="Times New Roman" w:hAnsi="Times New Roman" w:cs="Times New Roman"/>
          <w:sz w:val="24"/>
          <w:szCs w:val="24"/>
        </w:rPr>
        <w:t>“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A19A9" w14:textId="5D51FE0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4: „</w:t>
      </w:r>
      <w:r w:rsidR="001A478B" w:rsidRPr="00877405">
        <w:rPr>
          <w:rFonts w:ascii="Times New Roman" w:hAnsi="Times New Roman" w:cs="Times New Roman"/>
          <w:sz w:val="24"/>
          <w:szCs w:val="24"/>
        </w:rPr>
        <w:t>Rozvíjet mimořádné prostředí pro podnikání a inovace</w:t>
      </w:r>
      <w:r w:rsidRPr="0087740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0071CC6" w14:textId="12372FBB" w:rsidR="00A26451" w:rsidRPr="00877405" w:rsidRDefault="00A26451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Strategický cíl 5: „Podpora komunitního života a zapojení </w:t>
      </w:r>
      <w:r w:rsidR="001A478B" w:rsidRPr="00877405">
        <w:rPr>
          <w:rFonts w:ascii="Times New Roman" w:hAnsi="Times New Roman" w:cs="Times New Roman"/>
          <w:sz w:val="24"/>
          <w:szCs w:val="24"/>
        </w:rPr>
        <w:t>občany do rozvoje města</w:t>
      </w:r>
      <w:r w:rsidRPr="00877405">
        <w:rPr>
          <w:rFonts w:ascii="Times New Roman" w:hAnsi="Times New Roman" w:cs="Times New Roman"/>
          <w:sz w:val="24"/>
          <w:szCs w:val="24"/>
        </w:rPr>
        <w:t>”</w:t>
      </w:r>
    </w:p>
    <w:p w14:paraId="7BE78A21" w14:textId="7777777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C – ZDRAVÉ MĚSTO</w:t>
      </w:r>
    </w:p>
    <w:p w14:paraId="7CAB08A6" w14:textId="0B3A7974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Strategický cíl 6: „Kultivovat </w:t>
      </w:r>
      <w:r w:rsidR="001A478B" w:rsidRPr="00877405">
        <w:rPr>
          <w:rFonts w:ascii="Times New Roman" w:hAnsi="Times New Roman" w:cs="Times New Roman"/>
          <w:sz w:val="24"/>
          <w:szCs w:val="24"/>
        </w:rPr>
        <w:t>prostředí</w:t>
      </w:r>
      <w:r w:rsidRPr="00877405">
        <w:rPr>
          <w:rFonts w:ascii="Times New Roman" w:hAnsi="Times New Roman" w:cs="Times New Roman"/>
          <w:sz w:val="24"/>
          <w:szCs w:val="24"/>
        </w:rPr>
        <w:t xml:space="preserve"> pro život všech generací”</w:t>
      </w:r>
    </w:p>
    <w:p w14:paraId="4877C177" w14:textId="60EEB90D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7: „Přiblížit město přírodě</w:t>
      </w:r>
      <w:r w:rsidR="001A478B" w:rsidRPr="00877405">
        <w:rPr>
          <w:rFonts w:ascii="Times New Roman" w:hAnsi="Times New Roman" w:cs="Times New Roman"/>
          <w:sz w:val="24"/>
          <w:szCs w:val="24"/>
        </w:rPr>
        <w:t xml:space="preserve"> a šetrně nakládat se zdroji</w:t>
      </w:r>
      <w:r w:rsidRPr="0087740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545C122" w14:textId="77777777" w:rsidR="00AD7450" w:rsidRPr="00877405" w:rsidRDefault="00AD7450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B171F" w14:textId="2493165C" w:rsidR="000D5094" w:rsidRPr="00877405" w:rsidRDefault="000D5094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Strategické cíle dále obsahují 20 tematických klíčových oblastí. Pro každou z nich jsou uvedeny změny, kterých chceme dosáhnout do roku 2030, typová opatření a aktivity, vazba na hlavní zjištění v analytické fázi, vlajkové projekty a klíčové ukazatele.</w:t>
      </w:r>
    </w:p>
    <w:p w14:paraId="030613D4" w14:textId="4F30E1FD" w:rsidR="00481CEE" w:rsidRPr="00877405" w:rsidRDefault="00965529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SPRM podléhá 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procesu </w:t>
      </w:r>
      <w:r w:rsidR="00027F11" w:rsidRPr="00877405">
        <w:rPr>
          <w:rFonts w:ascii="Times New Roman" w:hAnsi="Times New Roman" w:cs="Times New Roman"/>
          <w:sz w:val="24"/>
          <w:szCs w:val="24"/>
        </w:rPr>
        <w:t>SEA – posuzování</w:t>
      </w:r>
      <w:r w:rsidRPr="00877405">
        <w:rPr>
          <w:rFonts w:ascii="Times New Roman" w:hAnsi="Times New Roman" w:cs="Times New Roman"/>
          <w:sz w:val="24"/>
          <w:szCs w:val="24"/>
        </w:rPr>
        <w:t xml:space="preserve"> vlivů</w:t>
      </w:r>
      <w:r w:rsidR="006B10E8" w:rsidRPr="00877405">
        <w:rPr>
          <w:rFonts w:ascii="Times New Roman" w:hAnsi="Times New Roman" w:cs="Times New Roman"/>
          <w:sz w:val="24"/>
          <w:szCs w:val="24"/>
        </w:rPr>
        <w:t xml:space="preserve"> koncepce na životní prostředí dle zákona č.</w:t>
      </w:r>
      <w:r w:rsidR="0034114D" w:rsidRPr="00877405">
        <w:t> </w:t>
      </w:r>
      <w:r w:rsidR="006B10E8" w:rsidRPr="00877405">
        <w:rPr>
          <w:rFonts w:ascii="Times New Roman" w:hAnsi="Times New Roman" w:cs="Times New Roman"/>
          <w:sz w:val="24"/>
          <w:szCs w:val="24"/>
        </w:rPr>
        <w:t>100/2001 Sb., o</w:t>
      </w:r>
      <w:r w:rsidR="00481CEE" w:rsidRPr="00877405">
        <w:rPr>
          <w:rFonts w:ascii="Times New Roman" w:hAnsi="Times New Roman" w:cs="Times New Roman"/>
          <w:sz w:val="24"/>
          <w:szCs w:val="24"/>
        </w:rPr>
        <w:t> </w:t>
      </w:r>
      <w:r w:rsidR="006B10E8" w:rsidRPr="00877405">
        <w:rPr>
          <w:rFonts w:ascii="Times New Roman" w:hAnsi="Times New Roman" w:cs="Times New Roman"/>
          <w:sz w:val="24"/>
          <w:szCs w:val="24"/>
        </w:rPr>
        <w:t>posuzování vlivů na životní prostředí, ve znění pozdějších předpisů</w:t>
      </w:r>
      <w:r w:rsidR="00481CEE" w:rsidRPr="00877405">
        <w:rPr>
          <w:rFonts w:ascii="Times New Roman" w:hAnsi="Times New Roman" w:cs="Times New Roman"/>
          <w:sz w:val="24"/>
          <w:szCs w:val="24"/>
        </w:rPr>
        <w:t xml:space="preserve"> (dále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481CEE" w:rsidRPr="00877405">
        <w:rPr>
          <w:rFonts w:ascii="Times New Roman" w:hAnsi="Times New Roman" w:cs="Times New Roman"/>
          <w:sz w:val="24"/>
          <w:szCs w:val="24"/>
        </w:rPr>
        <w:t>jen</w:t>
      </w:r>
      <w:r w:rsidR="00027F11">
        <w:rPr>
          <w:rFonts w:ascii="Times New Roman" w:hAnsi="Times New Roman" w:cs="Times New Roman"/>
          <w:sz w:val="24"/>
          <w:szCs w:val="24"/>
        </w:rPr>
        <w:t> </w:t>
      </w:r>
      <w:r w:rsidR="00481CEE" w:rsidRPr="00877405">
        <w:rPr>
          <w:rFonts w:ascii="Times New Roman" w:hAnsi="Times New Roman" w:cs="Times New Roman"/>
          <w:sz w:val="24"/>
          <w:szCs w:val="24"/>
        </w:rPr>
        <w:t>zákon)</w:t>
      </w:r>
      <w:r w:rsidR="006B10E8" w:rsidRPr="00877405">
        <w:rPr>
          <w:rFonts w:ascii="Times New Roman" w:hAnsi="Times New Roman" w:cs="Times New Roman"/>
          <w:sz w:val="24"/>
          <w:szCs w:val="24"/>
        </w:rPr>
        <w:t xml:space="preserve">. </w:t>
      </w:r>
      <w:r w:rsidR="00481CEE" w:rsidRPr="00877405">
        <w:rPr>
          <w:rFonts w:ascii="Times New Roman" w:hAnsi="Times New Roman" w:cs="Times New Roman"/>
          <w:sz w:val="24"/>
          <w:szCs w:val="24"/>
        </w:rPr>
        <w:t xml:space="preserve">Po zapracování případných připomínek plynoucích z vyhodnocení koncepce dle zákona </w:t>
      </w:r>
      <w:r w:rsidR="00E424D5" w:rsidRPr="00877405">
        <w:rPr>
          <w:rFonts w:ascii="Times New Roman" w:hAnsi="Times New Roman" w:cs="Times New Roman"/>
          <w:sz w:val="24"/>
          <w:szCs w:val="24"/>
        </w:rPr>
        <w:t>bude finální podoba SPRM</w:t>
      </w:r>
      <w:r w:rsidR="00481CEE" w:rsidRPr="00877405">
        <w:rPr>
          <w:rFonts w:ascii="Times New Roman" w:hAnsi="Times New Roman" w:cs="Times New Roman"/>
          <w:sz w:val="24"/>
          <w:szCs w:val="24"/>
        </w:rPr>
        <w:t xml:space="preserve"> předložen</w:t>
      </w:r>
      <w:r w:rsidR="00E424D5" w:rsidRPr="00877405">
        <w:rPr>
          <w:rFonts w:ascii="Times New Roman" w:hAnsi="Times New Roman" w:cs="Times New Roman"/>
          <w:sz w:val="24"/>
          <w:szCs w:val="24"/>
        </w:rPr>
        <w:t>a</w:t>
      </w:r>
      <w:r w:rsidR="00481CEE" w:rsidRPr="00877405">
        <w:rPr>
          <w:rFonts w:ascii="Times New Roman" w:hAnsi="Times New Roman" w:cs="Times New Roman"/>
          <w:sz w:val="24"/>
          <w:szCs w:val="24"/>
        </w:rPr>
        <w:t xml:space="preserve"> orgánům města ke schválení.</w:t>
      </w:r>
    </w:p>
    <w:p w14:paraId="6890ACF8" w14:textId="604A3A60" w:rsidR="00AD7450" w:rsidRPr="00877405" w:rsidRDefault="006B10E8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Součástí předkládan</w:t>
      </w:r>
      <w:r w:rsidR="00852251">
        <w:rPr>
          <w:rFonts w:ascii="Times New Roman" w:hAnsi="Times New Roman" w:cs="Times New Roman"/>
          <w:sz w:val="24"/>
          <w:szCs w:val="24"/>
        </w:rPr>
        <w:t>ých příloh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852251">
        <w:rPr>
          <w:rFonts w:ascii="Times New Roman" w:hAnsi="Times New Roman" w:cs="Times New Roman"/>
          <w:sz w:val="24"/>
          <w:szCs w:val="24"/>
        </w:rPr>
        <w:t xml:space="preserve">návrhu </w:t>
      </w:r>
      <w:r w:rsidR="00907FB4" w:rsidRPr="00877405">
        <w:rPr>
          <w:rFonts w:ascii="Times New Roman" w:hAnsi="Times New Roman" w:cs="Times New Roman"/>
          <w:sz w:val="24"/>
          <w:szCs w:val="24"/>
        </w:rPr>
        <w:t>St</w:t>
      </w:r>
      <w:r w:rsidRPr="00877405">
        <w:rPr>
          <w:rFonts w:ascii="Times New Roman" w:hAnsi="Times New Roman" w:cs="Times New Roman"/>
          <w:sz w:val="24"/>
          <w:szCs w:val="24"/>
        </w:rPr>
        <w:t xml:space="preserve">rategického plánu není </w:t>
      </w:r>
      <w:r w:rsidRPr="00877405">
        <w:rPr>
          <w:rFonts w:ascii="Times New Roman" w:hAnsi="Times New Roman" w:cs="Times New Roman"/>
          <w:b/>
          <w:sz w:val="24"/>
          <w:szCs w:val="24"/>
        </w:rPr>
        <w:t>Akční plán</w:t>
      </w:r>
      <w:r w:rsidR="00907FB4" w:rsidRPr="0087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B4" w:rsidRPr="00877405">
        <w:rPr>
          <w:rFonts w:ascii="Times New Roman" w:hAnsi="Times New Roman" w:cs="Times New Roman"/>
          <w:bCs/>
          <w:sz w:val="24"/>
          <w:szCs w:val="24"/>
        </w:rPr>
        <w:t>se seznamem strategických projektů k realizaci</w:t>
      </w:r>
      <w:r w:rsidRPr="008774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7405">
        <w:rPr>
          <w:rFonts w:ascii="Times New Roman" w:hAnsi="Times New Roman" w:cs="Times New Roman"/>
          <w:sz w:val="24"/>
          <w:szCs w:val="24"/>
        </w:rPr>
        <w:t xml:space="preserve">Tento bude 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zpracován </w:t>
      </w:r>
      <w:r w:rsidR="000D5094" w:rsidRPr="00877405">
        <w:rPr>
          <w:rFonts w:ascii="Times New Roman" w:hAnsi="Times New Roman" w:cs="Times New Roman"/>
          <w:sz w:val="24"/>
          <w:szCs w:val="24"/>
        </w:rPr>
        <w:t xml:space="preserve">následně a </w:t>
      </w:r>
      <w:r w:rsidRPr="00877405">
        <w:rPr>
          <w:rFonts w:ascii="Times New Roman" w:hAnsi="Times New Roman" w:cs="Times New Roman"/>
          <w:sz w:val="24"/>
          <w:szCs w:val="24"/>
        </w:rPr>
        <w:t xml:space="preserve">bude v průběhu realizace 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SPRM </w:t>
      </w:r>
      <w:r w:rsidRPr="00877405">
        <w:rPr>
          <w:rFonts w:ascii="Times New Roman" w:hAnsi="Times New Roman" w:cs="Times New Roman"/>
          <w:sz w:val="24"/>
          <w:szCs w:val="24"/>
        </w:rPr>
        <w:t>pravidelně aktualizován.</w:t>
      </w:r>
    </w:p>
    <w:p w14:paraId="11488A5A" w14:textId="3C0D00F9" w:rsidR="005E6761" w:rsidRPr="00877405" w:rsidRDefault="00190D1A" w:rsidP="00027F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V současné době se dále připravuje zjednodušen</w:t>
      </w:r>
      <w:r w:rsidR="00907FB4" w:rsidRPr="00877405">
        <w:rPr>
          <w:rFonts w:ascii="Times New Roman" w:hAnsi="Times New Roman" w:cs="Times New Roman"/>
          <w:sz w:val="24"/>
          <w:szCs w:val="24"/>
        </w:rPr>
        <w:t>á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Pr="00877405">
        <w:rPr>
          <w:rFonts w:ascii="Times New Roman" w:hAnsi="Times New Roman" w:cs="Times New Roman"/>
          <w:b/>
          <w:sz w:val="24"/>
          <w:szCs w:val="24"/>
        </w:rPr>
        <w:t>komunikační verze SPRM</w:t>
      </w:r>
      <w:r w:rsidRPr="00877405">
        <w:rPr>
          <w:rFonts w:ascii="Times New Roman" w:hAnsi="Times New Roman" w:cs="Times New Roman"/>
          <w:sz w:val="24"/>
          <w:szCs w:val="24"/>
        </w:rPr>
        <w:t>, která bude určena pro odborníky i širokou veřejnost s cílem stručně, srozumitelně a zároveň atraktivně informovat o cílech strategie.</w:t>
      </w:r>
    </w:p>
    <w:p w14:paraId="6CC0F153" w14:textId="1163B553" w:rsidR="005E6761" w:rsidRDefault="00877405" w:rsidP="005E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Příloha č. 1 </w:t>
      </w:r>
      <w:r w:rsidRPr="00877405">
        <w:rPr>
          <w:rFonts w:ascii="Times New Roman" w:hAnsi="Times New Roman" w:cs="Times New Roman"/>
          <w:sz w:val="24"/>
          <w:szCs w:val="24"/>
        </w:rPr>
        <w:t xml:space="preserve">s názvem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852251">
        <w:rPr>
          <w:rFonts w:ascii="Times New Roman" w:hAnsi="Times New Roman" w:cs="Times New Roman"/>
          <w:b/>
          <w:bCs/>
          <w:sz w:val="24"/>
          <w:szCs w:val="24"/>
        </w:rPr>
        <w:t>ová část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 Strategického plánu rozvoje města Ostravy na období 2024–2030</w:t>
      </w:r>
      <w:r w:rsidR="00066C3E">
        <w:rPr>
          <w:rFonts w:ascii="Times New Roman" w:hAnsi="Times New Roman" w:cs="Times New Roman"/>
          <w:sz w:val="24"/>
          <w:szCs w:val="24"/>
        </w:rPr>
        <w:t xml:space="preserve">, včetně vypořádání připomínek </w:t>
      </w:r>
      <w:r w:rsidRPr="00877405">
        <w:rPr>
          <w:rFonts w:ascii="Times New Roman" w:hAnsi="Times New Roman" w:cs="Times New Roman"/>
          <w:sz w:val="24"/>
          <w:szCs w:val="24"/>
        </w:rPr>
        <w:t xml:space="preserve">a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příloha č. 2 </w:t>
      </w:r>
      <w:r w:rsidRPr="00877405">
        <w:rPr>
          <w:rFonts w:ascii="Times New Roman" w:hAnsi="Times New Roman" w:cs="Times New Roman"/>
          <w:sz w:val="24"/>
          <w:szCs w:val="24"/>
        </w:rPr>
        <w:t xml:space="preserve">s názvem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>Analytické podklady ke</w:t>
      </w:r>
      <w:r w:rsidR="00BF4C7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Strategickému plánu </w:t>
      </w:r>
      <w:r w:rsidRPr="00877405">
        <w:rPr>
          <w:rFonts w:ascii="Times New Roman" w:hAnsi="Times New Roman" w:cs="Times New Roman"/>
          <w:sz w:val="24"/>
          <w:szCs w:val="24"/>
        </w:rPr>
        <w:t>obsahující Analytickou zprávu, výsledky on-line dotazníkového šetření, výstupy pocitových map, strukturovaných rozhovorů a manažerská shrnutí pracovních skupin není z důvodu obsáhlosti dokumentu přiložena, bude k zobrazení na vzdáleném přístupu.</w:t>
      </w:r>
    </w:p>
    <w:p w14:paraId="36A9DA67" w14:textId="23F80A07" w:rsidR="00B7195D" w:rsidRPr="000A60EB" w:rsidRDefault="00B7195D" w:rsidP="00066C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60EB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Připomínkovací proces</w:t>
      </w:r>
      <w:r w:rsidR="00CD1ECD" w:rsidRPr="000A60EB">
        <w:rPr>
          <w:rFonts w:ascii="Times New Roman" w:hAnsi="Times New Roman" w:cs="Times New Roman"/>
          <w:b/>
          <w:bCs/>
          <w:sz w:val="24"/>
          <w:szCs w:val="24"/>
        </w:rPr>
        <w:t xml:space="preserve"> pro členy ZM</w:t>
      </w:r>
    </w:p>
    <w:p w14:paraId="18FB4D3E" w14:textId="48A6DFF5" w:rsidR="00B7195D" w:rsidRPr="00066C3E" w:rsidRDefault="00B7195D" w:rsidP="00066C3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C3E">
        <w:rPr>
          <w:rFonts w:ascii="Times New Roman" w:hAnsi="Times New Roman"/>
          <w:sz w:val="24"/>
          <w:szCs w:val="24"/>
        </w:rPr>
        <w:t>Analytická část k připomínkování – odesláno dne 4.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8.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2023 (termín pro zaslání připomínek do 25.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8.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 xml:space="preserve">2023 - odesláno bylo na zastupitele, kteří byli členy pracovních skupin, rozhovorů nebo </w:t>
      </w:r>
      <w:r w:rsidR="00CD1ECD" w:rsidRPr="00066C3E">
        <w:rPr>
          <w:rFonts w:ascii="Times New Roman" w:hAnsi="Times New Roman"/>
          <w:sz w:val="24"/>
          <w:szCs w:val="24"/>
        </w:rPr>
        <w:t>K</w:t>
      </w:r>
      <w:r w:rsidRPr="00066C3E">
        <w:rPr>
          <w:rFonts w:ascii="Times New Roman" w:hAnsi="Times New Roman"/>
          <w:sz w:val="24"/>
          <w:szCs w:val="24"/>
        </w:rPr>
        <w:t>omise</w:t>
      </w:r>
      <w:r w:rsidR="00CD1ECD" w:rsidRPr="00066C3E">
        <w:rPr>
          <w:rFonts w:ascii="Times New Roman" w:hAnsi="Times New Roman"/>
          <w:sz w:val="24"/>
          <w:szCs w:val="24"/>
        </w:rPr>
        <w:t xml:space="preserve"> pro strategický rozvoj a energetiku</w:t>
      </w:r>
      <w:r w:rsidRPr="00066C3E">
        <w:rPr>
          <w:rFonts w:ascii="Times New Roman" w:hAnsi="Times New Roman"/>
          <w:sz w:val="24"/>
          <w:szCs w:val="24"/>
        </w:rPr>
        <w:t xml:space="preserve">) – bez obdržených připomínek od zastupitelů – Analytická část byla následně součástí </w:t>
      </w:r>
      <w:r w:rsidR="00CD1ECD" w:rsidRPr="00066C3E">
        <w:rPr>
          <w:rFonts w:ascii="Times New Roman" w:hAnsi="Times New Roman"/>
          <w:sz w:val="24"/>
          <w:szCs w:val="24"/>
        </w:rPr>
        <w:t>e-</w:t>
      </w:r>
      <w:r w:rsidRPr="00066C3E">
        <w:rPr>
          <w:rFonts w:ascii="Times New Roman" w:hAnsi="Times New Roman"/>
          <w:sz w:val="24"/>
          <w:szCs w:val="24"/>
        </w:rPr>
        <w:t>mailu s žádostí o</w:t>
      </w:r>
      <w:r w:rsidR="00066C3E">
        <w:rPr>
          <w:rFonts w:ascii="Times New Roman" w:hAnsi="Times New Roman"/>
          <w:sz w:val="24"/>
          <w:szCs w:val="24"/>
        </w:rPr>
        <w:t> </w:t>
      </w:r>
      <w:r w:rsidRPr="00066C3E">
        <w:rPr>
          <w:rFonts w:ascii="Times New Roman" w:hAnsi="Times New Roman"/>
          <w:sz w:val="24"/>
          <w:szCs w:val="24"/>
        </w:rPr>
        <w:t>připomínky k Návrhové části, který byl zaslán všem členům zastupitelstva města.</w:t>
      </w:r>
    </w:p>
    <w:p w14:paraId="3098DA38" w14:textId="17EB27EE" w:rsidR="00B7195D" w:rsidRPr="00066C3E" w:rsidRDefault="00B7195D" w:rsidP="00066C3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C3E">
        <w:rPr>
          <w:rFonts w:ascii="Times New Roman" w:hAnsi="Times New Roman"/>
          <w:sz w:val="24"/>
          <w:szCs w:val="24"/>
        </w:rPr>
        <w:t>Návrhová část k připomínkování – odesláno dne 14.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12.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2023 (termín pro zaslání připomínek do 8.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1.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>2024). V Komisi pro strategický rozvoj a energetiku byla návrhová část projednána 27.</w:t>
      </w:r>
      <w:r w:rsidR="00066C3E">
        <w:rPr>
          <w:rFonts w:ascii="Times New Roman" w:hAnsi="Times New Roman"/>
          <w:sz w:val="24"/>
          <w:szCs w:val="24"/>
        </w:rPr>
        <w:t xml:space="preserve"> </w:t>
      </w:r>
      <w:r w:rsidRPr="00066C3E">
        <w:rPr>
          <w:rFonts w:ascii="Times New Roman" w:hAnsi="Times New Roman"/>
          <w:sz w:val="24"/>
          <w:szCs w:val="24"/>
        </w:rPr>
        <w:t xml:space="preserve">2., včetně </w:t>
      </w:r>
      <w:r w:rsidR="00CD1ECD" w:rsidRPr="00066C3E">
        <w:rPr>
          <w:rFonts w:ascii="Times New Roman" w:hAnsi="Times New Roman"/>
          <w:sz w:val="24"/>
          <w:szCs w:val="24"/>
        </w:rPr>
        <w:t>vlajkových</w:t>
      </w:r>
      <w:r w:rsidRPr="00066C3E">
        <w:rPr>
          <w:rFonts w:ascii="Times New Roman" w:hAnsi="Times New Roman"/>
          <w:sz w:val="24"/>
          <w:szCs w:val="24"/>
        </w:rPr>
        <w:t xml:space="preserve"> projektů.</w:t>
      </w:r>
    </w:p>
    <w:sectPr w:rsidR="00B7195D" w:rsidRPr="0006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1002"/>
    <w:multiLevelType w:val="hybridMultilevel"/>
    <w:tmpl w:val="A13C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870F5"/>
    <w:multiLevelType w:val="hybridMultilevel"/>
    <w:tmpl w:val="55980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81A"/>
    <w:multiLevelType w:val="hybridMultilevel"/>
    <w:tmpl w:val="168EC12A"/>
    <w:lvl w:ilvl="0" w:tplc="6F964C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57176">
    <w:abstractNumId w:val="7"/>
  </w:num>
  <w:num w:numId="2" w16cid:durableId="1689986607">
    <w:abstractNumId w:val="2"/>
  </w:num>
  <w:num w:numId="3" w16cid:durableId="1290085903">
    <w:abstractNumId w:val="4"/>
  </w:num>
  <w:num w:numId="4" w16cid:durableId="90974093">
    <w:abstractNumId w:val="3"/>
  </w:num>
  <w:num w:numId="5" w16cid:durableId="452407272">
    <w:abstractNumId w:val="5"/>
  </w:num>
  <w:num w:numId="6" w16cid:durableId="1504861667">
    <w:abstractNumId w:val="0"/>
  </w:num>
  <w:num w:numId="7" w16cid:durableId="536234902">
    <w:abstractNumId w:val="1"/>
  </w:num>
  <w:num w:numId="8" w16cid:durableId="570164430">
    <w:abstractNumId w:val="9"/>
  </w:num>
  <w:num w:numId="9" w16cid:durableId="1252929868">
    <w:abstractNumId w:val="8"/>
  </w:num>
  <w:num w:numId="10" w16cid:durableId="1814716630">
    <w:abstractNumId w:val="1"/>
  </w:num>
  <w:num w:numId="11" w16cid:durableId="1380474844">
    <w:abstractNumId w:val="10"/>
  </w:num>
  <w:num w:numId="12" w16cid:durableId="1058746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A"/>
    <w:rsid w:val="00000C90"/>
    <w:rsid w:val="00027F11"/>
    <w:rsid w:val="00034C06"/>
    <w:rsid w:val="00066C3E"/>
    <w:rsid w:val="000A60EB"/>
    <w:rsid w:val="000B5670"/>
    <w:rsid w:val="000D5094"/>
    <w:rsid w:val="0014322E"/>
    <w:rsid w:val="00190D1A"/>
    <w:rsid w:val="00194FC9"/>
    <w:rsid w:val="001A478B"/>
    <w:rsid w:val="001C087A"/>
    <w:rsid w:val="001E7B00"/>
    <w:rsid w:val="00207C56"/>
    <w:rsid w:val="002166DD"/>
    <w:rsid w:val="002A4DED"/>
    <w:rsid w:val="00307F03"/>
    <w:rsid w:val="00326C28"/>
    <w:rsid w:val="0033635E"/>
    <w:rsid w:val="0034114D"/>
    <w:rsid w:val="003A6F92"/>
    <w:rsid w:val="003D5048"/>
    <w:rsid w:val="00427CFA"/>
    <w:rsid w:val="004648E2"/>
    <w:rsid w:val="00481CEE"/>
    <w:rsid w:val="004A45E3"/>
    <w:rsid w:val="004F35F0"/>
    <w:rsid w:val="00560461"/>
    <w:rsid w:val="005E6761"/>
    <w:rsid w:val="005F2CEE"/>
    <w:rsid w:val="00602A77"/>
    <w:rsid w:val="0061298C"/>
    <w:rsid w:val="00616BBC"/>
    <w:rsid w:val="00663542"/>
    <w:rsid w:val="00667A67"/>
    <w:rsid w:val="006B10E8"/>
    <w:rsid w:val="006B7313"/>
    <w:rsid w:val="006F0BE3"/>
    <w:rsid w:val="0071426D"/>
    <w:rsid w:val="007F3404"/>
    <w:rsid w:val="00806519"/>
    <w:rsid w:val="00852251"/>
    <w:rsid w:val="00877405"/>
    <w:rsid w:val="008D2390"/>
    <w:rsid w:val="008E36C9"/>
    <w:rsid w:val="00907FB4"/>
    <w:rsid w:val="00965529"/>
    <w:rsid w:val="009A37CB"/>
    <w:rsid w:val="009C0C64"/>
    <w:rsid w:val="00A00A08"/>
    <w:rsid w:val="00A03A32"/>
    <w:rsid w:val="00A146D4"/>
    <w:rsid w:val="00A26451"/>
    <w:rsid w:val="00A90109"/>
    <w:rsid w:val="00AC2505"/>
    <w:rsid w:val="00AD7450"/>
    <w:rsid w:val="00B06591"/>
    <w:rsid w:val="00B31BCE"/>
    <w:rsid w:val="00B7195D"/>
    <w:rsid w:val="00B81AAA"/>
    <w:rsid w:val="00B864E8"/>
    <w:rsid w:val="00BB01CE"/>
    <w:rsid w:val="00BC5207"/>
    <w:rsid w:val="00BF4C7F"/>
    <w:rsid w:val="00C46125"/>
    <w:rsid w:val="00C64089"/>
    <w:rsid w:val="00C74051"/>
    <w:rsid w:val="00CD1ECD"/>
    <w:rsid w:val="00CD2681"/>
    <w:rsid w:val="00CF7FF3"/>
    <w:rsid w:val="00D953D8"/>
    <w:rsid w:val="00E424D5"/>
    <w:rsid w:val="00E56DD9"/>
    <w:rsid w:val="00E7355A"/>
    <w:rsid w:val="00E97D2A"/>
    <w:rsid w:val="00EF3ED0"/>
    <w:rsid w:val="00F11EB5"/>
    <w:rsid w:val="00F9641C"/>
    <w:rsid w:val="00FD590F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1D23"/>
  <w15:docId w15:val="{C0992E4A-2A87-446C-AB92-2F4EE00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00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Kučová Markéta</cp:lastModifiedBy>
  <cp:revision>4</cp:revision>
  <cp:lastPrinted>2024-03-08T11:13:00Z</cp:lastPrinted>
  <dcterms:created xsi:type="dcterms:W3CDTF">2024-03-08T13:55:00Z</dcterms:created>
  <dcterms:modified xsi:type="dcterms:W3CDTF">2024-03-11T10:34:00Z</dcterms:modified>
</cp:coreProperties>
</file>