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093F" w14:textId="77777777" w:rsidR="00CE5D31" w:rsidRPr="00C31E1F" w:rsidRDefault="0033336C" w:rsidP="001573D1">
      <w:pPr>
        <w:pStyle w:val="Nadpis1"/>
      </w:pPr>
      <w:r w:rsidRPr="00830B81">
        <w:rPr>
          <w:sz w:val="28"/>
          <w:szCs w:val="28"/>
        </w:rPr>
        <w:t>Důvodová zpráva</w:t>
      </w:r>
      <w:r w:rsidR="00AD3CEB" w:rsidRPr="00C31E1F">
        <w:t>:</w:t>
      </w:r>
    </w:p>
    <w:p w14:paraId="5535B4FA" w14:textId="7835C87F" w:rsidR="00B901E5" w:rsidRDefault="007E3B15" w:rsidP="001573D1">
      <w:pPr>
        <w:pStyle w:val="Odstavecseseznamem"/>
        <w:numPr>
          <w:ilvl w:val="0"/>
          <w:numId w:val="10"/>
        </w:numPr>
        <w:rPr>
          <w:rFonts w:ascii="Arial" w:eastAsia="Times New Roman" w:hAnsi="Arial" w:cs="Arial"/>
          <w:b/>
          <w:bCs/>
          <w:lang w:eastAsia="cs-CZ"/>
        </w:rPr>
      </w:pPr>
      <w:r w:rsidRPr="007E3B15">
        <w:rPr>
          <w:rFonts w:ascii="Arial" w:eastAsia="Times New Roman" w:hAnsi="Arial" w:cs="Arial"/>
          <w:b/>
          <w:bCs/>
          <w:lang w:eastAsia="cs-CZ"/>
        </w:rPr>
        <w:t xml:space="preserve">Vyhlášení dotačního programu </w:t>
      </w:r>
      <w:r w:rsidR="007320E8">
        <w:rPr>
          <w:rFonts w:ascii="Arial" w:eastAsia="Times New Roman" w:hAnsi="Arial" w:cs="Arial"/>
          <w:b/>
          <w:bCs/>
          <w:lang w:eastAsia="cs-CZ"/>
        </w:rPr>
        <w:t xml:space="preserve">TVOŘÍME </w:t>
      </w:r>
      <w:r w:rsidR="004B4293">
        <w:rPr>
          <w:rFonts w:ascii="Arial" w:eastAsia="Times New Roman" w:hAnsi="Arial" w:cs="Arial"/>
          <w:b/>
          <w:bCs/>
          <w:lang w:eastAsia="cs-CZ"/>
        </w:rPr>
        <w:t>PROSTOR</w:t>
      </w:r>
      <w:r w:rsidRPr="007E3B15">
        <w:rPr>
          <w:rFonts w:ascii="Arial" w:eastAsia="Times New Roman" w:hAnsi="Arial" w:cs="Arial"/>
          <w:b/>
          <w:bCs/>
          <w:lang w:eastAsia="cs-CZ"/>
        </w:rPr>
        <w:t xml:space="preserve"> na období </w:t>
      </w:r>
      <w:proofErr w:type="gramStart"/>
      <w:r w:rsidRPr="007E3B15">
        <w:rPr>
          <w:rFonts w:ascii="Arial" w:eastAsia="Times New Roman" w:hAnsi="Arial" w:cs="Arial"/>
          <w:b/>
          <w:bCs/>
          <w:lang w:eastAsia="cs-CZ"/>
        </w:rPr>
        <w:t>202</w:t>
      </w:r>
      <w:r w:rsidR="00BE781C">
        <w:rPr>
          <w:rFonts w:ascii="Arial" w:eastAsia="Times New Roman" w:hAnsi="Arial" w:cs="Arial"/>
          <w:b/>
          <w:bCs/>
          <w:lang w:eastAsia="cs-CZ"/>
        </w:rPr>
        <w:t>2</w:t>
      </w:r>
      <w:r w:rsidRPr="007E3B15">
        <w:rPr>
          <w:rFonts w:ascii="Arial" w:eastAsia="Times New Roman" w:hAnsi="Arial" w:cs="Arial"/>
          <w:b/>
          <w:bCs/>
          <w:lang w:eastAsia="cs-CZ"/>
        </w:rPr>
        <w:t xml:space="preserve"> </w:t>
      </w:r>
      <w:r w:rsidR="004B4293">
        <w:rPr>
          <w:rFonts w:ascii="Arial" w:eastAsia="Times New Roman" w:hAnsi="Arial" w:cs="Arial"/>
          <w:b/>
          <w:bCs/>
          <w:lang w:eastAsia="cs-CZ"/>
        </w:rPr>
        <w:t>–</w:t>
      </w:r>
      <w:r w:rsidRPr="007E3B15">
        <w:rPr>
          <w:rFonts w:ascii="Arial" w:eastAsia="Times New Roman" w:hAnsi="Arial" w:cs="Arial"/>
          <w:b/>
          <w:bCs/>
          <w:lang w:eastAsia="cs-CZ"/>
        </w:rPr>
        <w:t xml:space="preserve"> 202</w:t>
      </w:r>
      <w:r w:rsidR="00BE781C">
        <w:rPr>
          <w:rFonts w:ascii="Arial" w:eastAsia="Times New Roman" w:hAnsi="Arial" w:cs="Arial"/>
          <w:b/>
          <w:bCs/>
          <w:lang w:eastAsia="cs-CZ"/>
        </w:rPr>
        <w:t>3</w:t>
      </w:r>
      <w:proofErr w:type="gramEnd"/>
    </w:p>
    <w:p w14:paraId="0FBC37EF" w14:textId="2F583E4F" w:rsidR="00F93D2A" w:rsidRPr="007E3B15" w:rsidRDefault="007320E8" w:rsidP="007E3B15">
      <w:pPr>
        <w:pStyle w:val="Odstavecseseznamem"/>
        <w:numPr>
          <w:ilvl w:val="0"/>
          <w:numId w:val="10"/>
        </w:numPr>
        <w:rPr>
          <w:rFonts w:ascii="Arial" w:eastAsia="Times New Roman" w:hAnsi="Arial" w:cs="Arial"/>
          <w:b/>
          <w:bCs/>
          <w:lang w:eastAsia="cs-CZ"/>
        </w:rPr>
      </w:pPr>
      <w:r>
        <w:rPr>
          <w:rFonts w:ascii="Arial" w:eastAsia="Times New Roman" w:hAnsi="Arial" w:cs="Arial"/>
          <w:b/>
          <w:bCs/>
          <w:lang w:eastAsia="cs-CZ"/>
        </w:rPr>
        <w:t>Z</w:t>
      </w:r>
      <w:r w:rsidR="004B4293">
        <w:rPr>
          <w:rFonts w:ascii="Arial" w:eastAsia="Times New Roman" w:hAnsi="Arial" w:cs="Arial"/>
          <w:b/>
          <w:bCs/>
          <w:lang w:eastAsia="cs-CZ"/>
        </w:rPr>
        <w:t>práva o 6. výzvě předchozího programového období</w:t>
      </w:r>
      <w:r>
        <w:rPr>
          <w:rFonts w:ascii="Arial" w:eastAsia="Times New Roman" w:hAnsi="Arial" w:cs="Arial"/>
          <w:b/>
          <w:bCs/>
          <w:lang w:eastAsia="cs-CZ"/>
        </w:rPr>
        <w:t xml:space="preserve"> dotačního programu</w:t>
      </w:r>
    </w:p>
    <w:p w14:paraId="3A6099BE" w14:textId="45B74E32" w:rsidR="00E51EC7" w:rsidRPr="007320E8" w:rsidRDefault="00F93D2A" w:rsidP="007320E8">
      <w:pPr>
        <w:pStyle w:val="Odstavecseseznamem"/>
        <w:numPr>
          <w:ilvl w:val="0"/>
          <w:numId w:val="10"/>
        </w:numPr>
        <w:rPr>
          <w:rFonts w:ascii="Arial" w:hAnsi="Arial" w:cs="Arial"/>
          <w:b/>
          <w:bCs/>
        </w:rPr>
      </w:pPr>
      <w:r w:rsidRPr="007320E8">
        <w:rPr>
          <w:rFonts w:ascii="Arial" w:eastAsia="Times New Roman" w:hAnsi="Arial" w:cs="Arial"/>
          <w:b/>
          <w:bCs/>
          <w:lang w:eastAsia="cs-CZ"/>
        </w:rPr>
        <w:t>Uzavření dodatku k veřejnoprávní smlouvě ev. č. 3050/2020/OSR</w:t>
      </w:r>
    </w:p>
    <w:p w14:paraId="295DBC73" w14:textId="77777777" w:rsidR="004B4293" w:rsidRPr="007320E8" w:rsidRDefault="004B4293" w:rsidP="001573D1">
      <w:pPr>
        <w:spacing w:line="276" w:lineRule="auto"/>
        <w:rPr>
          <w:sz w:val="24"/>
        </w:rPr>
      </w:pPr>
    </w:p>
    <w:p w14:paraId="5258D1E0" w14:textId="5DC66413" w:rsidR="00B96D7F" w:rsidRPr="007320E8" w:rsidRDefault="00B96D7F" w:rsidP="00B96D7F">
      <w:pPr>
        <w:rPr>
          <w:b/>
          <w:bCs/>
          <w:szCs w:val="22"/>
        </w:rPr>
      </w:pPr>
      <w:r w:rsidRPr="007320E8">
        <w:rPr>
          <w:b/>
          <w:bCs/>
          <w:szCs w:val="22"/>
        </w:rPr>
        <w:t xml:space="preserve">Vyhlášení dotačního programu </w:t>
      </w:r>
    </w:p>
    <w:p w14:paraId="24688699" w14:textId="77777777" w:rsidR="00B96D7F" w:rsidRPr="007320E8" w:rsidRDefault="00B96D7F" w:rsidP="007320E8">
      <w:pPr>
        <w:rPr>
          <w:b/>
          <w:bCs/>
        </w:rPr>
      </w:pPr>
    </w:p>
    <w:p w14:paraId="37EAADC2" w14:textId="4259ACD1" w:rsidR="00EF77B8" w:rsidRPr="007320E8" w:rsidRDefault="00EF77B8" w:rsidP="007320E8">
      <w:pPr>
        <w:spacing w:line="360" w:lineRule="auto"/>
        <w:rPr>
          <w:szCs w:val="22"/>
        </w:rPr>
      </w:pPr>
      <w:r w:rsidRPr="007320E8">
        <w:rPr>
          <w:szCs w:val="22"/>
        </w:rPr>
        <w:t xml:space="preserve">Účelem dotačního programu </w:t>
      </w:r>
      <w:r w:rsidR="007320E8">
        <w:rPr>
          <w:szCs w:val="22"/>
        </w:rPr>
        <w:t xml:space="preserve">TVOŘÍME </w:t>
      </w:r>
      <w:r w:rsidRPr="007320E8">
        <w:rPr>
          <w:szCs w:val="22"/>
        </w:rPr>
        <w:t>PROSTOR</w:t>
      </w:r>
      <w:r w:rsidR="00ED4E91" w:rsidRPr="007320E8">
        <w:rPr>
          <w:szCs w:val="22"/>
        </w:rPr>
        <w:t xml:space="preserve"> (původně </w:t>
      </w:r>
      <w:proofErr w:type="spellStart"/>
      <w:r w:rsidR="00ED4E91" w:rsidRPr="007320E8">
        <w:rPr>
          <w:szCs w:val="22"/>
        </w:rPr>
        <w:t>fajnOVY</w:t>
      </w:r>
      <w:proofErr w:type="spellEnd"/>
      <w:r w:rsidR="00ED4E91" w:rsidRPr="007320E8">
        <w:rPr>
          <w:szCs w:val="22"/>
        </w:rPr>
        <w:t xml:space="preserve"> prostor)</w:t>
      </w:r>
      <w:r w:rsidRPr="007320E8">
        <w:rPr>
          <w:szCs w:val="22"/>
        </w:rPr>
        <w:t xml:space="preserve"> je podpora projektů realizovaných v urbanizovaném (městském) prostředí nebo v jeho těsné blízkosti, které povedou k oživení a rozvoji veřejného prostoru a místních komunit na území statutárního města Ostravy. </w:t>
      </w:r>
    </w:p>
    <w:p w14:paraId="4118B31C" w14:textId="77777777" w:rsidR="00EF77B8" w:rsidRPr="007320E8" w:rsidRDefault="00EF77B8" w:rsidP="007320E8">
      <w:pPr>
        <w:spacing w:line="360" w:lineRule="auto"/>
        <w:rPr>
          <w:szCs w:val="22"/>
        </w:rPr>
      </w:pPr>
      <w:r w:rsidRPr="007320E8">
        <w:rPr>
          <w:szCs w:val="22"/>
        </w:rPr>
        <w:t xml:space="preserve">Nedílnou součástí projektů je aktivní zapojení veřejnosti do přípravy i realizace projektu. </w:t>
      </w:r>
    </w:p>
    <w:p w14:paraId="1E736B96" w14:textId="7D0D08FC" w:rsidR="009F44A9" w:rsidRPr="007320E8" w:rsidRDefault="00EF77B8" w:rsidP="007320E8">
      <w:pPr>
        <w:spacing w:line="360" w:lineRule="auto"/>
        <w:rPr>
          <w:szCs w:val="22"/>
        </w:rPr>
      </w:pPr>
      <w:r w:rsidRPr="007320E8">
        <w:rPr>
          <w:szCs w:val="22"/>
        </w:rPr>
        <w:t>Dotační program je jedním z nástrojů rozvoje a upevnění místních komunit, a to prostřednictvím spoluutváření míst ve veřejném prostoru sloužících k rekreaci, odpočinku či společnému trávení volného času komunit.  Prostor se tak díky takovým zásahům stává přirozeným místem setkávání, upevňování sousedských vztahů, ožívá a působí atraktivně.</w:t>
      </w:r>
    </w:p>
    <w:p w14:paraId="275F31F8" w14:textId="05DBD32B" w:rsidR="009F44A9" w:rsidRPr="007320E8" w:rsidRDefault="00EF77B8" w:rsidP="007320E8">
      <w:pPr>
        <w:pStyle w:val="Textkomente"/>
        <w:spacing w:line="360" w:lineRule="auto"/>
        <w:jc w:val="both"/>
        <w:rPr>
          <w:rFonts w:ascii="Times New Roman" w:eastAsia="Times New Roman" w:hAnsi="Times New Roman" w:cs="Times New Roman"/>
          <w:sz w:val="22"/>
          <w:szCs w:val="22"/>
          <w:lang w:eastAsia="cs-CZ"/>
        </w:rPr>
      </w:pPr>
      <w:r w:rsidRPr="007320E8">
        <w:rPr>
          <w:rFonts w:ascii="Times New Roman" w:eastAsia="Times New Roman" w:hAnsi="Times New Roman" w:cs="Times New Roman"/>
          <w:sz w:val="22"/>
          <w:szCs w:val="22"/>
          <w:lang w:eastAsia="cs-CZ"/>
        </w:rPr>
        <w:t>Dotační program funguje již od roku 2017 a prošel si svým vývoje</w:t>
      </w:r>
      <w:r w:rsidR="00ED4E91" w:rsidRPr="007320E8">
        <w:rPr>
          <w:rFonts w:ascii="Times New Roman" w:eastAsia="Times New Roman" w:hAnsi="Times New Roman" w:cs="Times New Roman"/>
          <w:sz w:val="22"/>
          <w:szCs w:val="22"/>
          <w:lang w:eastAsia="cs-CZ"/>
        </w:rPr>
        <w:t>m</w:t>
      </w:r>
      <w:r w:rsidRPr="007320E8">
        <w:rPr>
          <w:rFonts w:ascii="Times New Roman" w:eastAsia="Times New Roman" w:hAnsi="Times New Roman" w:cs="Times New Roman"/>
          <w:sz w:val="22"/>
          <w:szCs w:val="22"/>
          <w:lang w:eastAsia="cs-CZ"/>
        </w:rPr>
        <w:t>. Ovšem o</w:t>
      </w:r>
      <w:r w:rsidR="009F44A9" w:rsidRPr="007320E8">
        <w:rPr>
          <w:rFonts w:ascii="Times New Roman" w:eastAsia="Times New Roman" w:hAnsi="Times New Roman" w:cs="Times New Roman"/>
          <w:sz w:val="22"/>
          <w:szCs w:val="22"/>
          <w:lang w:eastAsia="cs-CZ"/>
        </w:rPr>
        <w:t>proti předchozímu programovému období nedošlo k výrazným změnám, pouze k administrativním úpravám dle aktuáln</w:t>
      </w:r>
      <w:r w:rsidRPr="007320E8">
        <w:rPr>
          <w:rFonts w:ascii="Times New Roman" w:eastAsia="Times New Roman" w:hAnsi="Times New Roman" w:cs="Times New Roman"/>
          <w:sz w:val="22"/>
          <w:szCs w:val="22"/>
          <w:lang w:eastAsia="cs-CZ"/>
        </w:rPr>
        <w:t>ě platných legislativních pravidel</w:t>
      </w:r>
      <w:r w:rsidR="009F44A9" w:rsidRPr="007320E8">
        <w:rPr>
          <w:rFonts w:ascii="Times New Roman" w:eastAsia="Times New Roman" w:hAnsi="Times New Roman" w:cs="Times New Roman"/>
          <w:sz w:val="22"/>
          <w:szCs w:val="22"/>
          <w:lang w:eastAsia="cs-CZ"/>
        </w:rPr>
        <w:t>. Hodnocení bude opět probíhat ve 3 kolech.</w:t>
      </w:r>
    </w:p>
    <w:p w14:paraId="4DE98B09" w14:textId="7005A3DD" w:rsidR="009F44A9" w:rsidRPr="007320E8" w:rsidRDefault="009F44A9" w:rsidP="007320E8">
      <w:pPr>
        <w:pStyle w:val="Textkomente"/>
        <w:numPr>
          <w:ilvl w:val="0"/>
          <w:numId w:val="11"/>
        </w:numPr>
        <w:spacing w:line="360" w:lineRule="auto"/>
        <w:ind w:left="714" w:hanging="357"/>
        <w:contextualSpacing/>
        <w:jc w:val="both"/>
        <w:rPr>
          <w:rFonts w:ascii="Times New Roman" w:eastAsia="Times New Roman" w:hAnsi="Times New Roman" w:cs="Times New Roman"/>
          <w:sz w:val="22"/>
          <w:szCs w:val="22"/>
          <w:lang w:eastAsia="cs-CZ"/>
        </w:rPr>
      </w:pPr>
      <w:r w:rsidRPr="007320E8">
        <w:rPr>
          <w:rFonts w:ascii="Times New Roman" w:eastAsia="Times New Roman" w:hAnsi="Times New Roman" w:cs="Times New Roman"/>
          <w:sz w:val="22"/>
          <w:szCs w:val="22"/>
          <w:lang w:eastAsia="cs-CZ"/>
        </w:rPr>
        <w:t xml:space="preserve">kolo </w:t>
      </w:r>
      <w:r w:rsidR="00B901E5" w:rsidRPr="007320E8">
        <w:rPr>
          <w:rFonts w:ascii="Times New Roman" w:eastAsia="Times New Roman" w:hAnsi="Times New Roman" w:cs="Times New Roman"/>
          <w:sz w:val="22"/>
          <w:szCs w:val="22"/>
          <w:lang w:eastAsia="cs-CZ"/>
        </w:rPr>
        <w:t xml:space="preserve">hodnocení </w:t>
      </w:r>
      <w:r w:rsidRPr="007320E8">
        <w:rPr>
          <w:rFonts w:ascii="Times New Roman" w:eastAsia="Times New Roman" w:hAnsi="Times New Roman" w:cs="Times New Roman"/>
          <w:sz w:val="22"/>
          <w:szCs w:val="22"/>
          <w:lang w:eastAsia="cs-CZ"/>
        </w:rPr>
        <w:t>– přihlášení probíhá zasláním projektového záměru (včetně rozpočtu) na e-mailovou adresu dotačního programu. Komise vyhodnotí, zda jsou projektové záměry v souladu s podmínkami dotačního programu a ty následně postupují do dalšího kola hodnocení.</w:t>
      </w:r>
    </w:p>
    <w:p w14:paraId="27918678" w14:textId="6C1C9A6B" w:rsidR="00B901E5" w:rsidRPr="007320E8" w:rsidRDefault="009F44A9" w:rsidP="007320E8">
      <w:pPr>
        <w:pStyle w:val="Textkomente"/>
        <w:numPr>
          <w:ilvl w:val="0"/>
          <w:numId w:val="11"/>
        </w:numPr>
        <w:spacing w:line="360" w:lineRule="auto"/>
        <w:ind w:left="714" w:hanging="357"/>
        <w:contextualSpacing/>
        <w:jc w:val="both"/>
        <w:rPr>
          <w:rFonts w:ascii="Times New Roman" w:eastAsia="Times New Roman" w:hAnsi="Times New Roman" w:cs="Times New Roman"/>
          <w:sz w:val="22"/>
          <w:szCs w:val="22"/>
          <w:lang w:eastAsia="cs-CZ"/>
        </w:rPr>
      </w:pPr>
      <w:r w:rsidRPr="007320E8">
        <w:rPr>
          <w:rFonts w:ascii="Times New Roman" w:eastAsia="Times New Roman" w:hAnsi="Times New Roman" w:cs="Times New Roman"/>
          <w:sz w:val="22"/>
          <w:szCs w:val="22"/>
          <w:lang w:eastAsia="cs-CZ"/>
        </w:rPr>
        <w:t xml:space="preserve">kolo </w:t>
      </w:r>
      <w:r w:rsidR="00B901E5" w:rsidRPr="007320E8">
        <w:rPr>
          <w:rFonts w:ascii="Times New Roman" w:eastAsia="Times New Roman" w:hAnsi="Times New Roman" w:cs="Times New Roman"/>
          <w:sz w:val="22"/>
          <w:szCs w:val="22"/>
          <w:lang w:eastAsia="cs-CZ"/>
        </w:rPr>
        <w:t xml:space="preserve">hodnocení </w:t>
      </w:r>
      <w:r w:rsidRPr="007320E8">
        <w:rPr>
          <w:rFonts w:ascii="Times New Roman" w:eastAsia="Times New Roman" w:hAnsi="Times New Roman" w:cs="Times New Roman"/>
          <w:sz w:val="22"/>
          <w:szCs w:val="22"/>
          <w:lang w:eastAsia="cs-CZ"/>
        </w:rPr>
        <w:t xml:space="preserve">probíhá formou diskuse žadatele s komisí, kdy žadatel zodpovídá dotazy komise a následně obdrží od komise doporučení, jakým způsobem projekt upravit, doplnit apod. Poté má žadatel čas na to, aby vše dopracoval, zajistil si veškeré podklady a povinné přílohy a zaslal vše do </w:t>
      </w:r>
      <w:r w:rsidR="00B901E5" w:rsidRPr="007320E8">
        <w:rPr>
          <w:rFonts w:ascii="Times New Roman" w:eastAsia="Times New Roman" w:hAnsi="Times New Roman" w:cs="Times New Roman"/>
          <w:sz w:val="22"/>
          <w:szCs w:val="22"/>
          <w:lang w:eastAsia="cs-CZ"/>
        </w:rPr>
        <w:t>posledního</w:t>
      </w:r>
      <w:r w:rsidRPr="007320E8">
        <w:rPr>
          <w:rFonts w:ascii="Times New Roman" w:eastAsia="Times New Roman" w:hAnsi="Times New Roman" w:cs="Times New Roman"/>
          <w:sz w:val="22"/>
          <w:szCs w:val="22"/>
          <w:lang w:eastAsia="cs-CZ"/>
        </w:rPr>
        <w:t xml:space="preserve"> kola hodnocení. </w:t>
      </w:r>
    </w:p>
    <w:p w14:paraId="44CB67D0" w14:textId="0FBD3341" w:rsidR="004B4293" w:rsidRPr="007320E8" w:rsidRDefault="00B901E5" w:rsidP="007320E8">
      <w:pPr>
        <w:pStyle w:val="Textkomente"/>
        <w:numPr>
          <w:ilvl w:val="0"/>
          <w:numId w:val="11"/>
        </w:numPr>
        <w:spacing w:line="360" w:lineRule="auto"/>
        <w:ind w:left="714" w:hanging="357"/>
        <w:contextualSpacing/>
        <w:jc w:val="both"/>
        <w:rPr>
          <w:rFonts w:ascii="Times New Roman" w:eastAsia="Times New Roman" w:hAnsi="Times New Roman" w:cs="Times New Roman"/>
          <w:sz w:val="22"/>
          <w:szCs w:val="22"/>
          <w:lang w:eastAsia="cs-CZ"/>
        </w:rPr>
      </w:pPr>
      <w:r w:rsidRPr="007320E8">
        <w:rPr>
          <w:rFonts w:ascii="Times New Roman" w:eastAsia="Times New Roman" w:hAnsi="Times New Roman" w:cs="Times New Roman"/>
          <w:sz w:val="22"/>
          <w:szCs w:val="22"/>
          <w:lang w:eastAsia="cs-CZ"/>
        </w:rPr>
        <w:t>Kolo hodnocení – v</w:t>
      </w:r>
      <w:r w:rsidR="009F44A9" w:rsidRPr="007320E8">
        <w:rPr>
          <w:rFonts w:ascii="Times New Roman" w:eastAsia="Times New Roman" w:hAnsi="Times New Roman" w:cs="Times New Roman"/>
          <w:sz w:val="22"/>
          <w:szCs w:val="22"/>
          <w:lang w:eastAsia="cs-CZ"/>
        </w:rPr>
        <w:t xml:space="preserve"> tom již komise rozhoduje o projektech, které doporučí radě města, respektive zastupitelstvu města k rozhodnutí o (ne)poskytnutí dotace.   </w:t>
      </w:r>
    </w:p>
    <w:p w14:paraId="42056235" w14:textId="77777777" w:rsidR="004677A7" w:rsidRPr="007320E8" w:rsidRDefault="004677A7" w:rsidP="001573D1">
      <w:pPr>
        <w:spacing w:line="276" w:lineRule="auto"/>
        <w:rPr>
          <w:szCs w:val="22"/>
        </w:rPr>
      </w:pPr>
      <w:r w:rsidRPr="007320E8">
        <w:rPr>
          <w:szCs w:val="22"/>
        </w:rPr>
        <w:t>Program je zpracován v souladu s ustanoveními zákona č. 250/2000 Sb., o rozpočtových pravidlech územních rozpočtu, ve znění pozdějších předpisů</w:t>
      </w:r>
      <w:r w:rsidR="00830B81" w:rsidRPr="007320E8">
        <w:rPr>
          <w:szCs w:val="22"/>
        </w:rPr>
        <w:t>.</w:t>
      </w:r>
    </w:p>
    <w:p w14:paraId="6E0F180D" w14:textId="77777777" w:rsidR="00E4517C" w:rsidRPr="007320E8" w:rsidRDefault="00E4517C" w:rsidP="001573D1">
      <w:pPr>
        <w:spacing w:line="276" w:lineRule="auto"/>
        <w:rPr>
          <w:szCs w:val="22"/>
        </w:rPr>
      </w:pPr>
    </w:p>
    <w:p w14:paraId="1DA4CD2D" w14:textId="71A6E985" w:rsidR="00E4517C" w:rsidRPr="007320E8" w:rsidRDefault="00E4517C" w:rsidP="001573D1">
      <w:pPr>
        <w:spacing w:line="276" w:lineRule="auto"/>
        <w:rPr>
          <w:szCs w:val="22"/>
        </w:rPr>
      </w:pPr>
      <w:r w:rsidRPr="007320E8">
        <w:rPr>
          <w:szCs w:val="22"/>
        </w:rPr>
        <w:t>Souhrnná tabulka dotačního programu v</w:t>
      </w:r>
      <w:r w:rsidR="00B96D7F" w:rsidRPr="007320E8">
        <w:rPr>
          <w:szCs w:val="22"/>
        </w:rPr>
        <w:t> </w:t>
      </w:r>
      <w:r w:rsidRPr="007320E8">
        <w:rPr>
          <w:szCs w:val="22"/>
        </w:rPr>
        <w:t>letech</w:t>
      </w:r>
      <w:r w:rsidR="00B96D7F" w:rsidRPr="007320E8">
        <w:rPr>
          <w:szCs w:val="22"/>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693"/>
        <w:gridCol w:w="2552"/>
        <w:gridCol w:w="2551"/>
      </w:tblGrid>
      <w:tr w:rsidR="00E4517C" w:rsidRPr="00ED4E91" w14:paraId="66C5446E" w14:textId="77777777" w:rsidTr="007320E8">
        <w:trPr>
          <w:trHeight w:val="600"/>
        </w:trPr>
        <w:tc>
          <w:tcPr>
            <w:tcW w:w="2552" w:type="dxa"/>
            <w:shd w:val="clear" w:color="auto" w:fill="auto"/>
            <w:noWrap/>
            <w:vAlign w:val="bottom"/>
            <w:hideMark/>
          </w:tcPr>
          <w:p w14:paraId="565FFF6D" w14:textId="77777777" w:rsidR="00E4517C" w:rsidRPr="007320E8" w:rsidRDefault="00E4517C" w:rsidP="00E4517C">
            <w:pPr>
              <w:jc w:val="left"/>
              <w:rPr>
                <w:szCs w:val="22"/>
              </w:rPr>
            </w:pPr>
          </w:p>
        </w:tc>
        <w:tc>
          <w:tcPr>
            <w:tcW w:w="2693" w:type="dxa"/>
            <w:shd w:val="clear" w:color="auto" w:fill="auto"/>
            <w:vAlign w:val="center"/>
            <w:hideMark/>
          </w:tcPr>
          <w:p w14:paraId="3BD6EEC3" w14:textId="77777777" w:rsidR="00E4517C" w:rsidRPr="007320E8" w:rsidRDefault="00E4517C" w:rsidP="00E4517C">
            <w:pPr>
              <w:jc w:val="left"/>
              <w:rPr>
                <w:b/>
                <w:bCs/>
                <w:color w:val="000000"/>
                <w:szCs w:val="22"/>
              </w:rPr>
            </w:pPr>
            <w:r w:rsidRPr="007320E8">
              <w:rPr>
                <w:b/>
                <w:bCs/>
                <w:color w:val="000000"/>
                <w:szCs w:val="22"/>
              </w:rPr>
              <w:t>počet přihlášených projektů</w:t>
            </w:r>
          </w:p>
        </w:tc>
        <w:tc>
          <w:tcPr>
            <w:tcW w:w="2552" w:type="dxa"/>
            <w:shd w:val="clear" w:color="auto" w:fill="auto"/>
            <w:vAlign w:val="center"/>
            <w:hideMark/>
          </w:tcPr>
          <w:p w14:paraId="3F927379" w14:textId="77777777" w:rsidR="00E4517C" w:rsidRPr="007320E8" w:rsidRDefault="00E4517C" w:rsidP="00E4517C">
            <w:pPr>
              <w:jc w:val="left"/>
              <w:rPr>
                <w:b/>
                <w:bCs/>
                <w:color w:val="000000"/>
                <w:szCs w:val="22"/>
              </w:rPr>
            </w:pPr>
            <w:r w:rsidRPr="007320E8">
              <w:rPr>
                <w:b/>
                <w:bCs/>
                <w:color w:val="000000"/>
                <w:szCs w:val="22"/>
              </w:rPr>
              <w:t>počet podpořených projektů</w:t>
            </w:r>
          </w:p>
        </w:tc>
        <w:tc>
          <w:tcPr>
            <w:tcW w:w="2551" w:type="dxa"/>
            <w:shd w:val="clear" w:color="auto" w:fill="auto"/>
            <w:vAlign w:val="center"/>
            <w:hideMark/>
          </w:tcPr>
          <w:p w14:paraId="7064D17B" w14:textId="77777777" w:rsidR="00E4517C" w:rsidRPr="007320E8" w:rsidRDefault="00E4517C" w:rsidP="00E4517C">
            <w:pPr>
              <w:jc w:val="left"/>
              <w:rPr>
                <w:b/>
                <w:bCs/>
                <w:color w:val="000000"/>
                <w:szCs w:val="22"/>
              </w:rPr>
            </w:pPr>
            <w:r w:rsidRPr="007320E8">
              <w:rPr>
                <w:b/>
                <w:bCs/>
                <w:color w:val="000000"/>
                <w:szCs w:val="22"/>
              </w:rPr>
              <w:t>výše poskytnutých dotací</w:t>
            </w:r>
          </w:p>
        </w:tc>
      </w:tr>
      <w:tr w:rsidR="00E4517C" w:rsidRPr="00ED4E91" w14:paraId="11109B2F" w14:textId="77777777" w:rsidTr="007320E8">
        <w:trPr>
          <w:trHeight w:val="300"/>
        </w:trPr>
        <w:tc>
          <w:tcPr>
            <w:tcW w:w="2552" w:type="dxa"/>
            <w:shd w:val="clear" w:color="auto" w:fill="auto"/>
            <w:noWrap/>
            <w:vAlign w:val="bottom"/>
            <w:hideMark/>
          </w:tcPr>
          <w:p w14:paraId="38DF2DC4" w14:textId="77777777" w:rsidR="00E4517C" w:rsidRPr="007320E8" w:rsidRDefault="00E4517C" w:rsidP="00E4517C">
            <w:pPr>
              <w:jc w:val="left"/>
              <w:rPr>
                <w:color w:val="000000"/>
                <w:szCs w:val="22"/>
              </w:rPr>
            </w:pPr>
            <w:r w:rsidRPr="007320E8">
              <w:rPr>
                <w:color w:val="000000"/>
                <w:szCs w:val="22"/>
              </w:rPr>
              <w:t>1. ročník (2017)</w:t>
            </w:r>
          </w:p>
        </w:tc>
        <w:tc>
          <w:tcPr>
            <w:tcW w:w="2693" w:type="dxa"/>
            <w:shd w:val="clear" w:color="auto" w:fill="auto"/>
            <w:noWrap/>
            <w:vAlign w:val="bottom"/>
            <w:hideMark/>
          </w:tcPr>
          <w:p w14:paraId="64EB9111" w14:textId="77777777" w:rsidR="00E4517C" w:rsidRPr="007320E8" w:rsidRDefault="00E4517C" w:rsidP="00E4517C">
            <w:pPr>
              <w:jc w:val="right"/>
              <w:rPr>
                <w:color w:val="000000"/>
                <w:szCs w:val="22"/>
              </w:rPr>
            </w:pPr>
            <w:r w:rsidRPr="007320E8">
              <w:rPr>
                <w:color w:val="000000"/>
                <w:szCs w:val="22"/>
              </w:rPr>
              <w:t>14</w:t>
            </w:r>
          </w:p>
        </w:tc>
        <w:tc>
          <w:tcPr>
            <w:tcW w:w="2552" w:type="dxa"/>
            <w:shd w:val="clear" w:color="auto" w:fill="auto"/>
            <w:noWrap/>
            <w:vAlign w:val="bottom"/>
            <w:hideMark/>
          </w:tcPr>
          <w:p w14:paraId="3C29235A" w14:textId="77777777" w:rsidR="00E4517C" w:rsidRPr="007320E8" w:rsidRDefault="00E4517C" w:rsidP="00E4517C">
            <w:pPr>
              <w:jc w:val="right"/>
              <w:rPr>
                <w:color w:val="000000"/>
                <w:szCs w:val="22"/>
              </w:rPr>
            </w:pPr>
            <w:r w:rsidRPr="007320E8">
              <w:rPr>
                <w:color w:val="000000"/>
                <w:szCs w:val="22"/>
              </w:rPr>
              <w:t>9</w:t>
            </w:r>
          </w:p>
        </w:tc>
        <w:tc>
          <w:tcPr>
            <w:tcW w:w="2551" w:type="dxa"/>
            <w:shd w:val="clear" w:color="auto" w:fill="auto"/>
            <w:noWrap/>
            <w:vAlign w:val="bottom"/>
            <w:hideMark/>
          </w:tcPr>
          <w:p w14:paraId="113DF5EF" w14:textId="77777777" w:rsidR="00E4517C" w:rsidRPr="007320E8" w:rsidRDefault="00E4517C" w:rsidP="00E4517C">
            <w:pPr>
              <w:jc w:val="right"/>
              <w:rPr>
                <w:color w:val="000000"/>
                <w:szCs w:val="22"/>
              </w:rPr>
            </w:pPr>
            <w:r w:rsidRPr="007320E8">
              <w:rPr>
                <w:color w:val="000000"/>
                <w:szCs w:val="22"/>
              </w:rPr>
              <w:t>3 043 000 Kč</w:t>
            </w:r>
          </w:p>
        </w:tc>
      </w:tr>
      <w:tr w:rsidR="00E4517C" w:rsidRPr="00ED4E91" w14:paraId="078639F9" w14:textId="77777777" w:rsidTr="007320E8">
        <w:trPr>
          <w:trHeight w:val="300"/>
        </w:trPr>
        <w:tc>
          <w:tcPr>
            <w:tcW w:w="2552" w:type="dxa"/>
            <w:shd w:val="clear" w:color="auto" w:fill="auto"/>
            <w:noWrap/>
            <w:vAlign w:val="bottom"/>
            <w:hideMark/>
          </w:tcPr>
          <w:p w14:paraId="451E06E2" w14:textId="77777777" w:rsidR="00E4517C" w:rsidRPr="007320E8" w:rsidRDefault="00E4517C" w:rsidP="00E4517C">
            <w:pPr>
              <w:jc w:val="left"/>
              <w:rPr>
                <w:color w:val="000000"/>
                <w:szCs w:val="22"/>
              </w:rPr>
            </w:pPr>
            <w:r w:rsidRPr="007320E8">
              <w:rPr>
                <w:color w:val="000000"/>
                <w:szCs w:val="22"/>
              </w:rPr>
              <w:t>2. ročník - 1. výzva (2018)</w:t>
            </w:r>
          </w:p>
        </w:tc>
        <w:tc>
          <w:tcPr>
            <w:tcW w:w="2693" w:type="dxa"/>
            <w:shd w:val="clear" w:color="auto" w:fill="auto"/>
            <w:noWrap/>
            <w:vAlign w:val="bottom"/>
            <w:hideMark/>
          </w:tcPr>
          <w:p w14:paraId="2BFAD768" w14:textId="77777777" w:rsidR="00E4517C" w:rsidRPr="007320E8" w:rsidRDefault="00E4517C" w:rsidP="00E4517C">
            <w:pPr>
              <w:jc w:val="right"/>
              <w:rPr>
                <w:color w:val="000000"/>
                <w:szCs w:val="22"/>
              </w:rPr>
            </w:pPr>
            <w:r w:rsidRPr="007320E8">
              <w:rPr>
                <w:color w:val="000000"/>
                <w:szCs w:val="22"/>
              </w:rPr>
              <w:t>20</w:t>
            </w:r>
          </w:p>
        </w:tc>
        <w:tc>
          <w:tcPr>
            <w:tcW w:w="2552" w:type="dxa"/>
            <w:shd w:val="clear" w:color="auto" w:fill="auto"/>
            <w:noWrap/>
            <w:vAlign w:val="bottom"/>
            <w:hideMark/>
          </w:tcPr>
          <w:p w14:paraId="51267950" w14:textId="77777777" w:rsidR="00E4517C" w:rsidRPr="007320E8" w:rsidRDefault="00E4517C" w:rsidP="00E4517C">
            <w:pPr>
              <w:jc w:val="right"/>
              <w:rPr>
                <w:color w:val="000000"/>
                <w:szCs w:val="22"/>
              </w:rPr>
            </w:pPr>
            <w:r w:rsidRPr="007320E8">
              <w:rPr>
                <w:color w:val="000000"/>
                <w:szCs w:val="22"/>
              </w:rPr>
              <w:t>12</w:t>
            </w:r>
          </w:p>
        </w:tc>
        <w:tc>
          <w:tcPr>
            <w:tcW w:w="2551" w:type="dxa"/>
            <w:shd w:val="clear" w:color="auto" w:fill="auto"/>
            <w:noWrap/>
            <w:vAlign w:val="bottom"/>
            <w:hideMark/>
          </w:tcPr>
          <w:p w14:paraId="4C08C54F" w14:textId="77777777" w:rsidR="00E4517C" w:rsidRPr="007320E8" w:rsidRDefault="00E4517C" w:rsidP="00E4517C">
            <w:pPr>
              <w:jc w:val="right"/>
              <w:rPr>
                <w:color w:val="000000"/>
                <w:szCs w:val="22"/>
              </w:rPr>
            </w:pPr>
            <w:r w:rsidRPr="007320E8">
              <w:rPr>
                <w:color w:val="000000"/>
                <w:szCs w:val="22"/>
              </w:rPr>
              <w:t>2 754 000 Kč</w:t>
            </w:r>
          </w:p>
        </w:tc>
      </w:tr>
      <w:tr w:rsidR="00E4517C" w:rsidRPr="00ED4E91" w14:paraId="723E7414" w14:textId="77777777" w:rsidTr="007320E8">
        <w:trPr>
          <w:trHeight w:val="300"/>
        </w:trPr>
        <w:tc>
          <w:tcPr>
            <w:tcW w:w="2552" w:type="dxa"/>
            <w:shd w:val="clear" w:color="auto" w:fill="auto"/>
            <w:noWrap/>
            <w:vAlign w:val="bottom"/>
            <w:hideMark/>
          </w:tcPr>
          <w:p w14:paraId="436AC9DE" w14:textId="4027C02E" w:rsidR="00E4517C" w:rsidRPr="007320E8" w:rsidRDefault="00E4517C" w:rsidP="00E4517C">
            <w:pPr>
              <w:jc w:val="left"/>
              <w:rPr>
                <w:color w:val="000000"/>
                <w:szCs w:val="22"/>
              </w:rPr>
            </w:pPr>
            <w:r w:rsidRPr="007320E8">
              <w:rPr>
                <w:color w:val="000000"/>
                <w:szCs w:val="22"/>
              </w:rPr>
              <w:t>2. ročník - 2. výzva (2018</w:t>
            </w:r>
            <w:r w:rsidR="0061310B" w:rsidRPr="007320E8">
              <w:rPr>
                <w:color w:val="000000"/>
                <w:szCs w:val="22"/>
              </w:rPr>
              <w:t>)</w:t>
            </w:r>
          </w:p>
        </w:tc>
        <w:tc>
          <w:tcPr>
            <w:tcW w:w="2693" w:type="dxa"/>
            <w:shd w:val="clear" w:color="auto" w:fill="auto"/>
            <w:noWrap/>
            <w:vAlign w:val="bottom"/>
            <w:hideMark/>
          </w:tcPr>
          <w:p w14:paraId="72CF1D44" w14:textId="77777777" w:rsidR="00E4517C" w:rsidRPr="007320E8" w:rsidRDefault="00E4517C" w:rsidP="00E4517C">
            <w:pPr>
              <w:jc w:val="right"/>
              <w:rPr>
                <w:color w:val="000000"/>
                <w:szCs w:val="22"/>
              </w:rPr>
            </w:pPr>
            <w:r w:rsidRPr="007320E8">
              <w:rPr>
                <w:color w:val="000000"/>
                <w:szCs w:val="22"/>
              </w:rPr>
              <w:t>10</w:t>
            </w:r>
          </w:p>
        </w:tc>
        <w:tc>
          <w:tcPr>
            <w:tcW w:w="2552" w:type="dxa"/>
            <w:shd w:val="clear" w:color="auto" w:fill="auto"/>
            <w:noWrap/>
            <w:vAlign w:val="bottom"/>
            <w:hideMark/>
          </w:tcPr>
          <w:p w14:paraId="0EA2AED2" w14:textId="77777777" w:rsidR="00E4517C" w:rsidRPr="007320E8" w:rsidRDefault="00E4517C" w:rsidP="00E4517C">
            <w:pPr>
              <w:jc w:val="right"/>
              <w:rPr>
                <w:color w:val="000000"/>
                <w:szCs w:val="22"/>
              </w:rPr>
            </w:pPr>
            <w:r w:rsidRPr="007320E8">
              <w:rPr>
                <w:color w:val="000000"/>
                <w:szCs w:val="22"/>
              </w:rPr>
              <w:t>5</w:t>
            </w:r>
          </w:p>
        </w:tc>
        <w:tc>
          <w:tcPr>
            <w:tcW w:w="2551" w:type="dxa"/>
            <w:shd w:val="clear" w:color="auto" w:fill="auto"/>
            <w:noWrap/>
            <w:vAlign w:val="bottom"/>
            <w:hideMark/>
          </w:tcPr>
          <w:p w14:paraId="12195E2C" w14:textId="77777777" w:rsidR="00E4517C" w:rsidRPr="007320E8" w:rsidRDefault="00E4517C" w:rsidP="00E4517C">
            <w:pPr>
              <w:jc w:val="right"/>
              <w:rPr>
                <w:color w:val="000000"/>
                <w:szCs w:val="22"/>
              </w:rPr>
            </w:pPr>
            <w:r w:rsidRPr="007320E8">
              <w:rPr>
                <w:color w:val="000000"/>
                <w:szCs w:val="22"/>
              </w:rPr>
              <w:t>1 104 000 Kč</w:t>
            </w:r>
          </w:p>
        </w:tc>
      </w:tr>
      <w:tr w:rsidR="004B4293" w:rsidRPr="00ED4E91" w14:paraId="79F91D2C" w14:textId="77777777" w:rsidTr="007320E8">
        <w:trPr>
          <w:trHeight w:val="300"/>
        </w:trPr>
        <w:tc>
          <w:tcPr>
            <w:tcW w:w="2552" w:type="dxa"/>
            <w:shd w:val="clear" w:color="auto" w:fill="auto"/>
            <w:noWrap/>
            <w:vAlign w:val="bottom"/>
          </w:tcPr>
          <w:p w14:paraId="60F82903" w14:textId="2B59764C" w:rsidR="004B4293" w:rsidRPr="007320E8" w:rsidRDefault="004B4293" w:rsidP="004B4293">
            <w:pPr>
              <w:jc w:val="left"/>
              <w:rPr>
                <w:color w:val="000000"/>
                <w:szCs w:val="22"/>
              </w:rPr>
            </w:pPr>
            <w:r w:rsidRPr="007320E8">
              <w:rPr>
                <w:color w:val="000000"/>
                <w:szCs w:val="22"/>
              </w:rPr>
              <w:t>3. ročník (2019)</w:t>
            </w:r>
          </w:p>
        </w:tc>
        <w:tc>
          <w:tcPr>
            <w:tcW w:w="2693" w:type="dxa"/>
            <w:shd w:val="clear" w:color="auto" w:fill="auto"/>
            <w:noWrap/>
            <w:vAlign w:val="bottom"/>
          </w:tcPr>
          <w:p w14:paraId="2B4A3AC6" w14:textId="221C1981" w:rsidR="004B4293" w:rsidRPr="007320E8" w:rsidRDefault="004B4293" w:rsidP="004B4293">
            <w:pPr>
              <w:jc w:val="right"/>
              <w:rPr>
                <w:color w:val="000000"/>
                <w:szCs w:val="22"/>
              </w:rPr>
            </w:pPr>
            <w:r w:rsidRPr="007320E8">
              <w:rPr>
                <w:color w:val="000000"/>
                <w:szCs w:val="22"/>
              </w:rPr>
              <w:t>15</w:t>
            </w:r>
          </w:p>
        </w:tc>
        <w:tc>
          <w:tcPr>
            <w:tcW w:w="2552" w:type="dxa"/>
            <w:shd w:val="clear" w:color="auto" w:fill="auto"/>
            <w:noWrap/>
            <w:vAlign w:val="bottom"/>
          </w:tcPr>
          <w:p w14:paraId="59BD79DF" w14:textId="2B0B1FD0" w:rsidR="004B4293" w:rsidRPr="007320E8" w:rsidRDefault="004B4293" w:rsidP="004B4293">
            <w:pPr>
              <w:jc w:val="right"/>
              <w:rPr>
                <w:color w:val="000000"/>
                <w:szCs w:val="22"/>
              </w:rPr>
            </w:pPr>
            <w:r w:rsidRPr="007320E8">
              <w:rPr>
                <w:color w:val="000000"/>
                <w:szCs w:val="22"/>
              </w:rPr>
              <w:t>4</w:t>
            </w:r>
          </w:p>
        </w:tc>
        <w:tc>
          <w:tcPr>
            <w:tcW w:w="2551" w:type="dxa"/>
            <w:shd w:val="clear" w:color="auto" w:fill="auto"/>
            <w:noWrap/>
            <w:vAlign w:val="bottom"/>
          </w:tcPr>
          <w:p w14:paraId="54F945D7" w14:textId="64D04002" w:rsidR="004B4293" w:rsidRPr="007320E8" w:rsidRDefault="004B4293" w:rsidP="004B4293">
            <w:pPr>
              <w:jc w:val="right"/>
              <w:rPr>
                <w:color w:val="000000"/>
                <w:szCs w:val="22"/>
              </w:rPr>
            </w:pPr>
            <w:r w:rsidRPr="007320E8">
              <w:rPr>
                <w:color w:val="000000"/>
                <w:szCs w:val="22"/>
              </w:rPr>
              <w:t>1 098 000 Kč</w:t>
            </w:r>
          </w:p>
        </w:tc>
      </w:tr>
      <w:tr w:rsidR="004B4293" w:rsidRPr="00ED4E91" w14:paraId="44E59315" w14:textId="77777777" w:rsidTr="007320E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C7BFC" w14:textId="08E5A0A8" w:rsidR="004B4293" w:rsidRPr="007320E8" w:rsidRDefault="004B4293" w:rsidP="004B4293">
            <w:pPr>
              <w:jc w:val="left"/>
              <w:rPr>
                <w:color w:val="000000"/>
                <w:szCs w:val="22"/>
              </w:rPr>
            </w:pPr>
            <w:r w:rsidRPr="007320E8">
              <w:rPr>
                <w:color w:val="000000"/>
                <w:szCs w:val="22"/>
              </w:rPr>
              <w:t>4. ročník (</w:t>
            </w:r>
            <w:proofErr w:type="gramStart"/>
            <w:r w:rsidRPr="007320E8">
              <w:rPr>
                <w:color w:val="000000"/>
                <w:szCs w:val="22"/>
              </w:rPr>
              <w:t>2020 – 2021</w:t>
            </w:r>
            <w:proofErr w:type="gramEnd"/>
            <w:r w:rsidRPr="007320E8">
              <w:rPr>
                <w:color w:val="000000"/>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D3550" w14:textId="7B48247D" w:rsidR="004B4293" w:rsidRPr="007320E8" w:rsidRDefault="004B4293" w:rsidP="004B4293">
            <w:pPr>
              <w:jc w:val="right"/>
              <w:rPr>
                <w:color w:val="000000"/>
                <w:szCs w:val="22"/>
              </w:rPr>
            </w:pPr>
            <w:r w:rsidRPr="007320E8">
              <w:rPr>
                <w:color w:val="000000"/>
                <w:szCs w:val="22"/>
              </w:rPr>
              <w:t>34</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2EB78" w14:textId="15B10B44" w:rsidR="004B4293" w:rsidRPr="007320E8" w:rsidRDefault="004B4293" w:rsidP="004B4293">
            <w:pPr>
              <w:jc w:val="right"/>
              <w:rPr>
                <w:color w:val="000000"/>
                <w:szCs w:val="22"/>
              </w:rPr>
            </w:pPr>
            <w:r w:rsidRPr="007320E8">
              <w:rPr>
                <w:color w:val="000000"/>
                <w:szCs w:val="22"/>
              </w:rPr>
              <w:t>15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03747" w14:textId="3894563F" w:rsidR="004B4293" w:rsidRPr="007320E8" w:rsidRDefault="004B4293" w:rsidP="004B4293">
            <w:pPr>
              <w:jc w:val="right"/>
              <w:rPr>
                <w:color w:val="000000"/>
                <w:szCs w:val="22"/>
              </w:rPr>
            </w:pPr>
            <w:r w:rsidRPr="007320E8">
              <w:rPr>
                <w:color w:val="000000"/>
                <w:szCs w:val="22"/>
              </w:rPr>
              <w:t>3 948 000 Kč</w:t>
            </w:r>
          </w:p>
        </w:tc>
      </w:tr>
      <w:tr w:rsidR="004B4293" w:rsidRPr="00ED4E91" w14:paraId="5D67D106" w14:textId="77777777" w:rsidTr="007320E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ABF53" w14:textId="145976DC" w:rsidR="004B4293" w:rsidRPr="007320E8" w:rsidRDefault="004B4293" w:rsidP="004B4293">
            <w:pPr>
              <w:jc w:val="left"/>
              <w:rPr>
                <w:b/>
                <w:bCs/>
                <w:color w:val="000000"/>
                <w:szCs w:val="22"/>
              </w:rPr>
            </w:pPr>
            <w:r w:rsidRPr="007320E8">
              <w:rPr>
                <w:b/>
                <w:bCs/>
                <w:color w:val="000000"/>
                <w:szCs w:val="22"/>
              </w:rPr>
              <w:t>celkem</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AC4E4" w14:textId="55174134" w:rsidR="004B4293" w:rsidRPr="007320E8" w:rsidRDefault="004B4293" w:rsidP="004B4293">
            <w:pPr>
              <w:jc w:val="right"/>
              <w:rPr>
                <w:b/>
                <w:bCs/>
                <w:color w:val="000000"/>
                <w:szCs w:val="22"/>
              </w:rPr>
            </w:pPr>
            <w:r w:rsidRPr="007320E8">
              <w:rPr>
                <w:b/>
                <w:bCs/>
                <w:color w:val="000000"/>
                <w:szCs w:val="22"/>
              </w:rPr>
              <w:t>93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054D8" w14:textId="7EE88A71" w:rsidR="004B4293" w:rsidRPr="007320E8" w:rsidRDefault="004B4293" w:rsidP="004B4293">
            <w:pPr>
              <w:jc w:val="right"/>
              <w:rPr>
                <w:b/>
                <w:bCs/>
                <w:color w:val="000000"/>
                <w:szCs w:val="22"/>
              </w:rPr>
            </w:pPr>
            <w:r w:rsidRPr="007320E8">
              <w:rPr>
                <w:b/>
                <w:bCs/>
                <w:color w:val="000000"/>
                <w:szCs w:val="22"/>
              </w:rPr>
              <w:t>45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3992A" w14:textId="74E2F522" w:rsidR="004B4293" w:rsidRPr="007320E8" w:rsidRDefault="004B4293" w:rsidP="004B4293">
            <w:pPr>
              <w:jc w:val="right"/>
              <w:rPr>
                <w:b/>
                <w:bCs/>
                <w:color w:val="000000"/>
                <w:szCs w:val="22"/>
              </w:rPr>
            </w:pPr>
            <w:r w:rsidRPr="007320E8">
              <w:rPr>
                <w:b/>
                <w:bCs/>
                <w:color w:val="000000"/>
                <w:szCs w:val="22"/>
              </w:rPr>
              <w:t>11 947 000 Kč</w:t>
            </w:r>
          </w:p>
        </w:tc>
      </w:tr>
    </w:tbl>
    <w:p w14:paraId="64E1198B" w14:textId="32A757D1" w:rsidR="00E4517C" w:rsidRPr="007320E8" w:rsidRDefault="00E4517C" w:rsidP="001573D1">
      <w:pPr>
        <w:spacing w:line="276" w:lineRule="auto"/>
        <w:rPr>
          <w:szCs w:val="22"/>
        </w:rPr>
      </w:pPr>
    </w:p>
    <w:p w14:paraId="58E0C50A" w14:textId="41F401DA" w:rsidR="00BE781C" w:rsidRPr="007320E8" w:rsidRDefault="00BE781C" w:rsidP="001573D1">
      <w:pPr>
        <w:spacing w:line="276" w:lineRule="auto"/>
        <w:rPr>
          <w:szCs w:val="22"/>
        </w:rPr>
      </w:pPr>
    </w:p>
    <w:p w14:paraId="48F7CD47" w14:textId="4179624C" w:rsidR="00BE781C" w:rsidRPr="007320E8" w:rsidRDefault="00BE781C" w:rsidP="001573D1">
      <w:pPr>
        <w:spacing w:line="276" w:lineRule="auto"/>
        <w:rPr>
          <w:szCs w:val="22"/>
        </w:rPr>
      </w:pPr>
      <w:r w:rsidRPr="007320E8">
        <w:rPr>
          <w:b/>
          <w:bCs/>
          <w:szCs w:val="22"/>
        </w:rPr>
        <w:t xml:space="preserve">Informativní zpráva o 6. výzvě dotačního programu </w:t>
      </w:r>
      <w:proofErr w:type="spellStart"/>
      <w:r w:rsidR="00735D6D">
        <w:rPr>
          <w:b/>
          <w:bCs/>
          <w:szCs w:val="22"/>
        </w:rPr>
        <w:t>fajnOVY</w:t>
      </w:r>
      <w:proofErr w:type="spellEnd"/>
      <w:r w:rsidR="00735D6D">
        <w:rPr>
          <w:b/>
          <w:bCs/>
          <w:szCs w:val="22"/>
        </w:rPr>
        <w:t xml:space="preserve"> prostor </w:t>
      </w:r>
      <w:r w:rsidRPr="007320E8">
        <w:rPr>
          <w:b/>
          <w:bCs/>
          <w:szCs w:val="22"/>
        </w:rPr>
        <w:t xml:space="preserve">pro období </w:t>
      </w:r>
      <w:proofErr w:type="gramStart"/>
      <w:r w:rsidRPr="007320E8">
        <w:rPr>
          <w:b/>
          <w:bCs/>
          <w:szCs w:val="22"/>
        </w:rPr>
        <w:t>2020 – 2021</w:t>
      </w:r>
      <w:proofErr w:type="gramEnd"/>
    </w:p>
    <w:p w14:paraId="47B4DE1C" w14:textId="77777777" w:rsidR="00B901E5" w:rsidRPr="007320E8" w:rsidRDefault="00B901E5" w:rsidP="001573D1">
      <w:pPr>
        <w:spacing w:line="276" w:lineRule="auto"/>
        <w:rPr>
          <w:szCs w:val="22"/>
        </w:rPr>
      </w:pPr>
    </w:p>
    <w:p w14:paraId="050B1DDD" w14:textId="4410A5E3" w:rsidR="00D871B5" w:rsidRPr="007320E8" w:rsidRDefault="00D871B5" w:rsidP="00D871B5">
      <w:pPr>
        <w:spacing w:line="360" w:lineRule="auto"/>
        <w:rPr>
          <w:szCs w:val="22"/>
        </w:rPr>
      </w:pPr>
      <w:r w:rsidRPr="007320E8">
        <w:rPr>
          <w:szCs w:val="22"/>
        </w:rPr>
        <w:t xml:space="preserve">Dotační program pro období </w:t>
      </w:r>
      <w:proofErr w:type="gramStart"/>
      <w:r w:rsidRPr="007320E8">
        <w:rPr>
          <w:szCs w:val="22"/>
        </w:rPr>
        <w:t>2020 – 2021</w:t>
      </w:r>
      <w:proofErr w:type="gramEnd"/>
      <w:r w:rsidRPr="007320E8">
        <w:rPr>
          <w:szCs w:val="22"/>
        </w:rPr>
        <w:t xml:space="preserve"> vyhlášen dne </w:t>
      </w:r>
      <w:r w:rsidRPr="007320E8">
        <w:rPr>
          <w:bCs/>
          <w:iCs/>
          <w:szCs w:val="22"/>
        </w:rPr>
        <w:t xml:space="preserve">29. 1. 2020 dle rozhodnutí zastupitelstva města č. </w:t>
      </w:r>
      <w:r w:rsidRPr="007320E8">
        <w:rPr>
          <w:bCs/>
          <w:szCs w:val="22"/>
        </w:rPr>
        <w:t xml:space="preserve">0735/ZM1822/12 </w:t>
      </w:r>
      <w:r w:rsidRPr="007320E8">
        <w:rPr>
          <w:szCs w:val="22"/>
        </w:rPr>
        <w:t xml:space="preserve">se skládá ze </w:t>
      </w:r>
      <w:r w:rsidRPr="007320E8">
        <w:rPr>
          <w:b/>
          <w:bCs/>
          <w:szCs w:val="22"/>
        </w:rPr>
        <w:t>6 dílčích výzev</w:t>
      </w:r>
      <w:r w:rsidRPr="007320E8">
        <w:rPr>
          <w:szCs w:val="22"/>
        </w:rPr>
        <w:t xml:space="preserve">. Předpokládaná celková alokace pro rok 2021 je 3,5 mil. Kč. </w:t>
      </w:r>
      <w:r w:rsidR="00D04EDB">
        <w:rPr>
          <w:szCs w:val="22"/>
        </w:rPr>
        <w:t>Zastupitelstvu</w:t>
      </w:r>
      <w:r w:rsidR="00D04EDB" w:rsidRPr="007320E8">
        <w:rPr>
          <w:szCs w:val="22"/>
        </w:rPr>
        <w:t xml:space="preserve"> </w:t>
      </w:r>
      <w:r w:rsidRPr="007320E8">
        <w:rPr>
          <w:szCs w:val="22"/>
        </w:rPr>
        <w:t>města je předkládán</w:t>
      </w:r>
      <w:r w:rsidR="00FC64AD">
        <w:rPr>
          <w:szCs w:val="22"/>
        </w:rPr>
        <w:t>a</w:t>
      </w:r>
      <w:r w:rsidRPr="007320E8">
        <w:rPr>
          <w:szCs w:val="22"/>
        </w:rPr>
        <w:t xml:space="preserve"> informativní zpráva o </w:t>
      </w:r>
      <w:r w:rsidRPr="007320E8">
        <w:rPr>
          <w:b/>
          <w:bCs/>
          <w:szCs w:val="22"/>
        </w:rPr>
        <w:t>6. výzvy</w:t>
      </w:r>
      <w:r w:rsidRPr="007320E8">
        <w:rPr>
          <w:szCs w:val="22"/>
        </w:rPr>
        <w:t>, která byla zahájena příjmem projektových záměrů od 30. 4. 2021 do 31. 7. 2021. První kolo hodnocení komise proběhlo dne 12. 8. 2021, druhé kolo 19. 8. 2021, třetí kolo hodnocení mělo proběhnout 23. 9. 2021.</w:t>
      </w:r>
    </w:p>
    <w:p w14:paraId="223AB691" w14:textId="6CFEDF88" w:rsidR="0018421A" w:rsidRPr="007320E8" w:rsidRDefault="00D871B5" w:rsidP="007320E8">
      <w:pPr>
        <w:pStyle w:val="Default"/>
        <w:spacing w:line="360" w:lineRule="auto"/>
        <w:jc w:val="both"/>
        <w:rPr>
          <w:rFonts w:ascii="Times New Roman" w:eastAsia="Times New Roman" w:hAnsi="Times New Roman" w:cs="Times New Roman"/>
          <w:color w:val="auto"/>
          <w:sz w:val="22"/>
          <w:szCs w:val="22"/>
          <w:lang w:eastAsia="cs-CZ"/>
        </w:rPr>
      </w:pPr>
      <w:r w:rsidRPr="007320E8">
        <w:rPr>
          <w:rFonts w:ascii="Times New Roman" w:eastAsia="Times New Roman" w:hAnsi="Times New Roman" w:cs="Times New Roman"/>
          <w:color w:val="auto"/>
          <w:sz w:val="22"/>
          <w:szCs w:val="22"/>
          <w:lang w:eastAsia="cs-CZ"/>
        </w:rPr>
        <w:t>Do 6. výzvy byly přihlášeny celkem 2 projekty, viz příloha č. 2</w:t>
      </w:r>
      <w:r w:rsidR="0018421A" w:rsidRPr="007320E8">
        <w:rPr>
          <w:rFonts w:ascii="Times New Roman" w:eastAsia="Times New Roman" w:hAnsi="Times New Roman" w:cs="Times New Roman"/>
          <w:color w:val="auto"/>
          <w:sz w:val="22"/>
          <w:szCs w:val="22"/>
          <w:lang w:eastAsia="cs-CZ"/>
        </w:rPr>
        <w:t xml:space="preserve">. Po prvním kolem bylo komisí oběma projektům doporučeno účastnit se druhého kola hodnocení, viz příloha č. 3. Do posledního třetího kola se již nepřihlásil ani jeden projektový záměr, a to z důvodu, že jeden záměr – </w:t>
      </w:r>
      <w:r w:rsidR="0018421A" w:rsidRPr="007320E8">
        <w:rPr>
          <w:rFonts w:ascii="Times New Roman" w:eastAsia="Times New Roman" w:hAnsi="Times New Roman" w:cs="Times New Roman"/>
          <w:i/>
          <w:iCs/>
          <w:color w:val="auto"/>
          <w:sz w:val="22"/>
          <w:szCs w:val="22"/>
          <w:lang w:eastAsia="cs-CZ"/>
        </w:rPr>
        <w:t>Odpočinková zóna mezi ulicemi Pohraniční a Hlubinská</w:t>
      </w:r>
      <w:r w:rsidR="0018421A" w:rsidRPr="007320E8">
        <w:rPr>
          <w:rFonts w:ascii="Times New Roman" w:eastAsia="Times New Roman" w:hAnsi="Times New Roman" w:cs="Times New Roman"/>
          <w:color w:val="auto"/>
          <w:sz w:val="22"/>
          <w:szCs w:val="22"/>
          <w:lang w:eastAsia="cs-CZ"/>
        </w:rPr>
        <w:t xml:space="preserve"> nebyl doporučen komisí, viz příloha č. 3 a druhý záměr </w:t>
      </w:r>
      <w:r w:rsidR="0018421A" w:rsidRPr="007320E8">
        <w:rPr>
          <w:rFonts w:ascii="Times New Roman" w:eastAsia="Times New Roman" w:hAnsi="Times New Roman" w:cs="Times New Roman"/>
          <w:i/>
          <w:iCs/>
          <w:color w:val="auto"/>
          <w:sz w:val="22"/>
          <w:szCs w:val="22"/>
          <w:lang w:eastAsia="cs-CZ"/>
        </w:rPr>
        <w:t>Dětství Otakara Schindlera</w:t>
      </w:r>
      <w:r w:rsidR="0018421A" w:rsidRPr="007320E8">
        <w:rPr>
          <w:rFonts w:ascii="Times New Roman" w:eastAsia="Times New Roman" w:hAnsi="Times New Roman" w:cs="Times New Roman"/>
          <w:color w:val="auto"/>
          <w:sz w:val="22"/>
          <w:szCs w:val="22"/>
          <w:lang w:eastAsia="cs-CZ"/>
        </w:rPr>
        <w:t xml:space="preserve"> sám odstoupil od podání žádosti do 3. kola hodnocení. Důvodem bylo především, že žadatel změnil umístění projektu</w:t>
      </w:r>
      <w:r w:rsidR="00855799" w:rsidRPr="007320E8">
        <w:rPr>
          <w:rFonts w:ascii="Times New Roman" w:eastAsia="Times New Roman" w:hAnsi="Times New Roman" w:cs="Times New Roman"/>
          <w:color w:val="auto"/>
          <w:sz w:val="22"/>
          <w:szCs w:val="22"/>
          <w:lang w:eastAsia="cs-CZ"/>
        </w:rPr>
        <w:t xml:space="preserve"> oproti původnímu záměru</w:t>
      </w:r>
      <w:r w:rsidR="0018421A" w:rsidRPr="007320E8">
        <w:rPr>
          <w:rFonts w:ascii="Times New Roman" w:eastAsia="Times New Roman" w:hAnsi="Times New Roman" w:cs="Times New Roman"/>
          <w:color w:val="auto"/>
          <w:sz w:val="22"/>
          <w:szCs w:val="22"/>
          <w:lang w:eastAsia="cs-CZ"/>
        </w:rPr>
        <w:t>. Do 3. kola žadatelé potřebují souhlas majitele pozemku, což je v tomto případě Statutární město Ostrava, které vydalo nesouhlasné stanovisko k umístění na základě stanovisek odboru strategického rozvoje a MAPPA.</w:t>
      </w:r>
    </w:p>
    <w:p w14:paraId="4CB2CD4C" w14:textId="77777777" w:rsidR="0018421A" w:rsidRPr="007320E8" w:rsidRDefault="0018421A" w:rsidP="0018421A">
      <w:pPr>
        <w:spacing w:line="360" w:lineRule="auto"/>
        <w:rPr>
          <w:szCs w:val="22"/>
        </w:rPr>
      </w:pPr>
      <w:r w:rsidRPr="007320E8">
        <w:rPr>
          <w:szCs w:val="22"/>
        </w:rPr>
        <w:t>Všechny projektové záměry včetně veškerých podkladů jsou dostupné k nahlédnutí na odboru strategického rozvoje.</w:t>
      </w:r>
    </w:p>
    <w:p w14:paraId="16C71B90" w14:textId="237F1738" w:rsidR="00BE781C" w:rsidRDefault="00BE781C">
      <w:pPr>
        <w:spacing w:line="360" w:lineRule="auto"/>
        <w:rPr>
          <w:rFonts w:eastAsiaTheme="minorHAnsi"/>
          <w:szCs w:val="22"/>
          <w:lang w:eastAsia="en-US"/>
        </w:rPr>
      </w:pPr>
    </w:p>
    <w:p w14:paraId="69C24870" w14:textId="77777777" w:rsidR="00F93D2A" w:rsidRPr="007320E8" w:rsidRDefault="00F93D2A" w:rsidP="007320E8">
      <w:pPr>
        <w:rPr>
          <w:b/>
          <w:bCs/>
        </w:rPr>
      </w:pPr>
      <w:r w:rsidRPr="007320E8">
        <w:rPr>
          <w:b/>
          <w:bCs/>
          <w:szCs w:val="22"/>
        </w:rPr>
        <w:t>Uzavření dodatku k veřejnoprávní smlouvě ev. č. 3050/2020/OSR</w:t>
      </w:r>
    </w:p>
    <w:p w14:paraId="5DAA7571" w14:textId="13512255" w:rsidR="00F93D2A" w:rsidRDefault="00F93D2A">
      <w:pPr>
        <w:spacing w:line="360" w:lineRule="auto"/>
        <w:rPr>
          <w:rFonts w:eastAsiaTheme="minorHAnsi"/>
          <w:szCs w:val="22"/>
          <w:lang w:eastAsia="en-US"/>
        </w:rPr>
      </w:pPr>
    </w:p>
    <w:p w14:paraId="35D4D68A" w14:textId="77777777" w:rsidR="00F93D2A" w:rsidRDefault="00F93D2A">
      <w:pPr>
        <w:spacing w:line="360" w:lineRule="auto"/>
        <w:rPr>
          <w:rFonts w:eastAsiaTheme="minorHAnsi"/>
          <w:szCs w:val="22"/>
          <w:lang w:eastAsia="en-US"/>
        </w:rPr>
      </w:pPr>
      <w:r>
        <w:rPr>
          <w:rFonts w:eastAsiaTheme="minorHAnsi"/>
          <w:szCs w:val="22"/>
          <w:lang w:eastAsia="en-US"/>
        </w:rPr>
        <w:t xml:space="preserve">Projekt Revitalizace parku na ul. Pavlovova byl schválen zastupitelstvem města (č. </w:t>
      </w:r>
      <w:proofErr w:type="spellStart"/>
      <w:r>
        <w:rPr>
          <w:rFonts w:eastAsiaTheme="minorHAnsi"/>
          <w:szCs w:val="22"/>
          <w:lang w:eastAsia="en-US"/>
        </w:rPr>
        <w:t>usn</w:t>
      </w:r>
      <w:proofErr w:type="spellEnd"/>
      <w:r>
        <w:rPr>
          <w:rFonts w:eastAsiaTheme="minorHAnsi"/>
          <w:szCs w:val="22"/>
          <w:lang w:eastAsia="en-US"/>
        </w:rPr>
        <w:t xml:space="preserve">. </w:t>
      </w:r>
      <w:r w:rsidRPr="007320E8">
        <w:rPr>
          <w:rFonts w:eastAsiaTheme="minorHAnsi"/>
          <w:szCs w:val="22"/>
          <w:lang w:eastAsia="en-US"/>
        </w:rPr>
        <w:t>1232/ZM1822/19</w:t>
      </w:r>
      <w:r>
        <w:rPr>
          <w:rFonts w:eastAsiaTheme="minorHAnsi"/>
          <w:szCs w:val="22"/>
          <w:lang w:eastAsia="en-US"/>
        </w:rPr>
        <w:t xml:space="preserve">) v rámci 2. výzvy dotačního programu </w:t>
      </w:r>
      <w:proofErr w:type="spellStart"/>
      <w:r>
        <w:rPr>
          <w:rFonts w:eastAsiaTheme="minorHAnsi"/>
          <w:szCs w:val="22"/>
          <w:lang w:eastAsia="en-US"/>
        </w:rPr>
        <w:t>fajnOVY</w:t>
      </w:r>
      <w:proofErr w:type="spellEnd"/>
      <w:r>
        <w:rPr>
          <w:rFonts w:eastAsiaTheme="minorHAnsi"/>
          <w:szCs w:val="22"/>
          <w:lang w:eastAsia="en-US"/>
        </w:rPr>
        <w:t xml:space="preserve"> prostor. </w:t>
      </w:r>
    </w:p>
    <w:p w14:paraId="5EB148FF" w14:textId="377C2977" w:rsidR="00AA0737" w:rsidRDefault="00F93D2A">
      <w:pPr>
        <w:spacing w:line="360" w:lineRule="auto"/>
        <w:rPr>
          <w:rFonts w:eastAsiaTheme="minorHAnsi"/>
          <w:szCs w:val="22"/>
          <w:lang w:eastAsia="en-US"/>
        </w:rPr>
      </w:pPr>
      <w:r w:rsidRPr="007320E8">
        <w:rPr>
          <w:rFonts w:eastAsiaTheme="minorHAnsi"/>
          <w:szCs w:val="22"/>
          <w:lang w:eastAsia="en-US"/>
        </w:rPr>
        <w:t>Cílem projektu je vytvoření volnočasové, odpočinkové zóny, zejména pro obyvatele bytových domů Pavlovova 23, 25 a 27, v Ostravě – Zábřehu. Volnočasovou a relaxační zónu budou tvořit prvky pro rekreační pohybové aktivity jakými můžou být venkovní fitness prvky (</w:t>
      </w:r>
      <w:proofErr w:type="spellStart"/>
      <w:r w:rsidRPr="007320E8">
        <w:rPr>
          <w:rFonts w:eastAsiaTheme="minorHAnsi"/>
          <w:szCs w:val="22"/>
          <w:lang w:eastAsia="en-US"/>
        </w:rPr>
        <w:t>workout</w:t>
      </w:r>
      <w:proofErr w:type="spellEnd"/>
      <w:r w:rsidRPr="007320E8">
        <w:rPr>
          <w:rFonts w:eastAsiaTheme="minorHAnsi"/>
          <w:szCs w:val="22"/>
          <w:lang w:eastAsia="en-US"/>
        </w:rPr>
        <w:t>), multifunkční hřiště (např. basketbalový koš, badmintonové hřiště, venkovní stůl na stolní tenis aj.), dále altán pro denní oddych, či večerní posezení u ohně, vše výše uvedené vhodně zasazené do upraveného parku a zeleně, ve které bude možné trávit čas i s nejmenšími dětmi, batolaty</w:t>
      </w:r>
      <w:r w:rsidR="00AA0737">
        <w:rPr>
          <w:rFonts w:eastAsiaTheme="minorHAnsi"/>
          <w:szCs w:val="22"/>
          <w:lang w:eastAsia="en-US"/>
        </w:rPr>
        <w:t xml:space="preserve"> (viz příloha č. 4 předloženého materiálu)</w:t>
      </w:r>
      <w:r w:rsidRPr="007320E8">
        <w:rPr>
          <w:rFonts w:eastAsiaTheme="minorHAnsi"/>
          <w:szCs w:val="22"/>
          <w:lang w:eastAsia="en-US"/>
        </w:rPr>
        <w:t>.</w:t>
      </w:r>
    </w:p>
    <w:p w14:paraId="7F1CE34B" w14:textId="47661676" w:rsidR="00F93D2A" w:rsidRDefault="00F93D2A">
      <w:pPr>
        <w:spacing w:line="360" w:lineRule="auto"/>
      </w:pPr>
      <w:r>
        <w:rPr>
          <w:rFonts w:eastAsiaTheme="minorHAnsi"/>
          <w:szCs w:val="22"/>
          <w:lang w:eastAsia="en-US"/>
        </w:rPr>
        <w:t>Harmonogram projektu však narušily dlouhodobé zdravotní problémy</w:t>
      </w:r>
      <w:r w:rsidR="00757DE2">
        <w:rPr>
          <w:rFonts w:eastAsiaTheme="minorHAnsi"/>
          <w:szCs w:val="22"/>
          <w:lang w:eastAsia="en-US"/>
        </w:rPr>
        <w:t xml:space="preserve"> samotného žadatele, nedostupnost materiálu způsobené epidemií COVID-19 a průtahy ze strany stavebního úřadu, kdy namísto 60denní zákonné lhůty obdrželi vyjádření až po 5 měsících.</w:t>
      </w:r>
      <w:r w:rsidR="00757DE2" w:rsidRPr="00757DE2">
        <w:t xml:space="preserve"> </w:t>
      </w:r>
      <w:r w:rsidR="00757DE2">
        <w:t>S ohledem na tyto události museli odříct smluveného dodavatele, který zároveň nemohl déle blokovat zamluvené dřeviny, jež jsou k dispozici pouze na jaře a koncem léta.</w:t>
      </w:r>
    </w:p>
    <w:p w14:paraId="32787CBE" w14:textId="630ADF8B" w:rsidR="00757DE2" w:rsidRPr="007320E8" w:rsidRDefault="00757DE2" w:rsidP="007320E8">
      <w:pPr>
        <w:spacing w:line="360" w:lineRule="auto"/>
        <w:rPr>
          <w:rFonts w:eastAsiaTheme="minorHAnsi"/>
          <w:szCs w:val="22"/>
          <w:lang w:eastAsia="en-US"/>
        </w:rPr>
      </w:pPr>
      <w:r>
        <w:t>Vzhledem k těmto výše uvedeným událostem navrhuje administrátor programu</w:t>
      </w:r>
      <w:r w:rsidR="006B1BF7">
        <w:t xml:space="preserve"> uzavření dodatku k veřejnoprávní smlouvě ev. č. 3050/2020/OSR o prodloužení realizace projektu do 31. 8. 2022 oproti původnímu termínu do 31. 12. 2021.</w:t>
      </w:r>
    </w:p>
    <w:sectPr w:rsidR="00757DE2" w:rsidRPr="007320E8" w:rsidSect="0020437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94728"/>
    <w:multiLevelType w:val="multilevel"/>
    <w:tmpl w:val="E3D4B990"/>
    <w:lvl w:ilvl="0">
      <w:start w:val="1"/>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45191CD1"/>
    <w:multiLevelType w:val="hybridMultilevel"/>
    <w:tmpl w:val="A3580B8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7224D7"/>
    <w:multiLevelType w:val="hybridMultilevel"/>
    <w:tmpl w:val="11762802"/>
    <w:lvl w:ilvl="0" w:tplc="36385004">
      <w:start w:val="32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1977DD"/>
    <w:multiLevelType w:val="hybridMultilevel"/>
    <w:tmpl w:val="037CF6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DC0A1D"/>
    <w:multiLevelType w:val="hybridMultilevel"/>
    <w:tmpl w:val="C9D6B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821F1D"/>
    <w:multiLevelType w:val="hybridMultilevel"/>
    <w:tmpl w:val="A2A86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333292"/>
    <w:multiLevelType w:val="hybridMultilevel"/>
    <w:tmpl w:val="91FE4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877940"/>
    <w:multiLevelType w:val="hybridMultilevel"/>
    <w:tmpl w:val="DD72D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36234E"/>
    <w:multiLevelType w:val="hybridMultilevel"/>
    <w:tmpl w:val="2EBA1B34"/>
    <w:lvl w:ilvl="0" w:tplc="518029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AA3230"/>
    <w:multiLevelType w:val="hybridMultilevel"/>
    <w:tmpl w:val="240065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8A81999"/>
    <w:multiLevelType w:val="hybridMultilevel"/>
    <w:tmpl w:val="8020DCD2"/>
    <w:lvl w:ilvl="0" w:tplc="D40416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8"/>
  </w:num>
  <w:num w:numId="7">
    <w:abstractNumId w:val="4"/>
  </w:num>
  <w:num w:numId="8">
    <w:abstractNumId w:val="1"/>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C"/>
    <w:rsid w:val="000034EB"/>
    <w:rsid w:val="00006400"/>
    <w:rsid w:val="00011369"/>
    <w:rsid w:val="00024974"/>
    <w:rsid w:val="000341EA"/>
    <w:rsid w:val="0004502A"/>
    <w:rsid w:val="00054530"/>
    <w:rsid w:val="00071F31"/>
    <w:rsid w:val="000746CE"/>
    <w:rsid w:val="00076736"/>
    <w:rsid w:val="00094460"/>
    <w:rsid w:val="0009465F"/>
    <w:rsid w:val="000A0E61"/>
    <w:rsid w:val="000A79CB"/>
    <w:rsid w:val="000A7CBD"/>
    <w:rsid w:val="000B5159"/>
    <w:rsid w:val="000C1186"/>
    <w:rsid w:val="000D5E57"/>
    <w:rsid w:val="000E31D3"/>
    <w:rsid w:val="000F4065"/>
    <w:rsid w:val="001016E4"/>
    <w:rsid w:val="00106977"/>
    <w:rsid w:val="00111F26"/>
    <w:rsid w:val="001122BB"/>
    <w:rsid w:val="001125C4"/>
    <w:rsid w:val="001323AF"/>
    <w:rsid w:val="00132EAF"/>
    <w:rsid w:val="00154DF1"/>
    <w:rsid w:val="001573D1"/>
    <w:rsid w:val="00164461"/>
    <w:rsid w:val="0016566A"/>
    <w:rsid w:val="00181518"/>
    <w:rsid w:val="00182738"/>
    <w:rsid w:val="0018421A"/>
    <w:rsid w:val="00194210"/>
    <w:rsid w:val="001B0323"/>
    <w:rsid w:val="001C2366"/>
    <w:rsid w:val="001C3812"/>
    <w:rsid w:val="001C79F0"/>
    <w:rsid w:val="001D4237"/>
    <w:rsid w:val="001D4AE7"/>
    <w:rsid w:val="001D6589"/>
    <w:rsid w:val="001D6805"/>
    <w:rsid w:val="001E27A8"/>
    <w:rsid w:val="001E5EFE"/>
    <w:rsid w:val="00201B17"/>
    <w:rsid w:val="0020437F"/>
    <w:rsid w:val="00204CA0"/>
    <w:rsid w:val="002052AC"/>
    <w:rsid w:val="00206B86"/>
    <w:rsid w:val="002178A9"/>
    <w:rsid w:val="00224FC7"/>
    <w:rsid w:val="0023525A"/>
    <w:rsid w:val="00237981"/>
    <w:rsid w:val="00272B86"/>
    <w:rsid w:val="00273E1D"/>
    <w:rsid w:val="00282720"/>
    <w:rsid w:val="002A02E9"/>
    <w:rsid w:val="002A3750"/>
    <w:rsid w:val="002B098E"/>
    <w:rsid w:val="002C2880"/>
    <w:rsid w:val="002C5B8A"/>
    <w:rsid w:val="002C6EC2"/>
    <w:rsid w:val="002D29DC"/>
    <w:rsid w:val="002D614D"/>
    <w:rsid w:val="002E1486"/>
    <w:rsid w:val="002E1778"/>
    <w:rsid w:val="002F7C45"/>
    <w:rsid w:val="0033336C"/>
    <w:rsid w:val="00342411"/>
    <w:rsid w:val="003469A2"/>
    <w:rsid w:val="003542A8"/>
    <w:rsid w:val="00363A78"/>
    <w:rsid w:val="0036532A"/>
    <w:rsid w:val="00370E40"/>
    <w:rsid w:val="003A31DC"/>
    <w:rsid w:val="003A70F5"/>
    <w:rsid w:val="003D1C2B"/>
    <w:rsid w:val="003E3E94"/>
    <w:rsid w:val="003F6361"/>
    <w:rsid w:val="00402282"/>
    <w:rsid w:val="004029A0"/>
    <w:rsid w:val="004228A6"/>
    <w:rsid w:val="004375CB"/>
    <w:rsid w:val="0045046A"/>
    <w:rsid w:val="00452ABA"/>
    <w:rsid w:val="00453C90"/>
    <w:rsid w:val="00463A9A"/>
    <w:rsid w:val="004677A7"/>
    <w:rsid w:val="0047667D"/>
    <w:rsid w:val="0048215B"/>
    <w:rsid w:val="004A10B6"/>
    <w:rsid w:val="004B193F"/>
    <w:rsid w:val="004B4293"/>
    <w:rsid w:val="004B7BDF"/>
    <w:rsid w:val="004C09CD"/>
    <w:rsid w:val="004E6BC6"/>
    <w:rsid w:val="004F30AA"/>
    <w:rsid w:val="004F4FC4"/>
    <w:rsid w:val="0050035D"/>
    <w:rsid w:val="005055A1"/>
    <w:rsid w:val="005157E2"/>
    <w:rsid w:val="00516130"/>
    <w:rsid w:val="00516A12"/>
    <w:rsid w:val="00552546"/>
    <w:rsid w:val="005663A1"/>
    <w:rsid w:val="00567263"/>
    <w:rsid w:val="0057555B"/>
    <w:rsid w:val="00587A96"/>
    <w:rsid w:val="00587B14"/>
    <w:rsid w:val="005A1138"/>
    <w:rsid w:val="005A1807"/>
    <w:rsid w:val="005B0870"/>
    <w:rsid w:val="005C06B0"/>
    <w:rsid w:val="005D4A2F"/>
    <w:rsid w:val="005E4FEC"/>
    <w:rsid w:val="005E67E0"/>
    <w:rsid w:val="005E6A94"/>
    <w:rsid w:val="0061310B"/>
    <w:rsid w:val="00631C39"/>
    <w:rsid w:val="00635CB5"/>
    <w:rsid w:val="00636FFF"/>
    <w:rsid w:val="00661ED3"/>
    <w:rsid w:val="00662123"/>
    <w:rsid w:val="00662311"/>
    <w:rsid w:val="0069210A"/>
    <w:rsid w:val="006944BD"/>
    <w:rsid w:val="00697CC6"/>
    <w:rsid w:val="006A58D9"/>
    <w:rsid w:val="006B1BF7"/>
    <w:rsid w:val="006C4B16"/>
    <w:rsid w:val="006C52C7"/>
    <w:rsid w:val="006D5AC9"/>
    <w:rsid w:val="006E6465"/>
    <w:rsid w:val="006F22B2"/>
    <w:rsid w:val="007061C8"/>
    <w:rsid w:val="007320E8"/>
    <w:rsid w:val="0073249F"/>
    <w:rsid w:val="00735D6D"/>
    <w:rsid w:val="00742EE8"/>
    <w:rsid w:val="007521C6"/>
    <w:rsid w:val="00757DE2"/>
    <w:rsid w:val="0076653A"/>
    <w:rsid w:val="00783A2B"/>
    <w:rsid w:val="00785C8D"/>
    <w:rsid w:val="00787C14"/>
    <w:rsid w:val="007A139D"/>
    <w:rsid w:val="007A51A9"/>
    <w:rsid w:val="007A7F34"/>
    <w:rsid w:val="007D5B42"/>
    <w:rsid w:val="007E3B15"/>
    <w:rsid w:val="007F1BE3"/>
    <w:rsid w:val="0081348D"/>
    <w:rsid w:val="00827686"/>
    <w:rsid w:val="00830B81"/>
    <w:rsid w:val="008377AA"/>
    <w:rsid w:val="00855799"/>
    <w:rsid w:val="00860847"/>
    <w:rsid w:val="00866155"/>
    <w:rsid w:val="008771AE"/>
    <w:rsid w:val="00890D43"/>
    <w:rsid w:val="008960CE"/>
    <w:rsid w:val="00896EAF"/>
    <w:rsid w:val="008A1D31"/>
    <w:rsid w:val="008A5081"/>
    <w:rsid w:val="008A6730"/>
    <w:rsid w:val="008A73A1"/>
    <w:rsid w:val="008B232F"/>
    <w:rsid w:val="008B30BB"/>
    <w:rsid w:val="008C31A3"/>
    <w:rsid w:val="008D30E8"/>
    <w:rsid w:val="008D7AD8"/>
    <w:rsid w:val="008E3BB7"/>
    <w:rsid w:val="008E46C8"/>
    <w:rsid w:val="008E6B20"/>
    <w:rsid w:val="008F0314"/>
    <w:rsid w:val="00903034"/>
    <w:rsid w:val="009051C5"/>
    <w:rsid w:val="00911171"/>
    <w:rsid w:val="00915CB7"/>
    <w:rsid w:val="00923C20"/>
    <w:rsid w:val="009244C9"/>
    <w:rsid w:val="00926A9F"/>
    <w:rsid w:val="00931F67"/>
    <w:rsid w:val="00937509"/>
    <w:rsid w:val="00941F1C"/>
    <w:rsid w:val="009548A5"/>
    <w:rsid w:val="00963A40"/>
    <w:rsid w:val="0096698D"/>
    <w:rsid w:val="00971ACF"/>
    <w:rsid w:val="00980CEA"/>
    <w:rsid w:val="00985EBB"/>
    <w:rsid w:val="00993AE8"/>
    <w:rsid w:val="00997152"/>
    <w:rsid w:val="009C6208"/>
    <w:rsid w:val="009E1AD2"/>
    <w:rsid w:val="009E3096"/>
    <w:rsid w:val="009E3D16"/>
    <w:rsid w:val="009E71BE"/>
    <w:rsid w:val="009F44A9"/>
    <w:rsid w:val="00A21CD7"/>
    <w:rsid w:val="00A2259B"/>
    <w:rsid w:val="00A34040"/>
    <w:rsid w:val="00A43ACF"/>
    <w:rsid w:val="00A46FED"/>
    <w:rsid w:val="00A60AF2"/>
    <w:rsid w:val="00A63AAB"/>
    <w:rsid w:val="00A75BDE"/>
    <w:rsid w:val="00A75EE1"/>
    <w:rsid w:val="00A911F7"/>
    <w:rsid w:val="00A9562E"/>
    <w:rsid w:val="00AA0737"/>
    <w:rsid w:val="00AA374E"/>
    <w:rsid w:val="00AC30AF"/>
    <w:rsid w:val="00AD3CEB"/>
    <w:rsid w:val="00AE18A3"/>
    <w:rsid w:val="00AE3009"/>
    <w:rsid w:val="00AE3DE6"/>
    <w:rsid w:val="00AE437A"/>
    <w:rsid w:val="00B05685"/>
    <w:rsid w:val="00B06B9A"/>
    <w:rsid w:val="00B474B6"/>
    <w:rsid w:val="00B514B8"/>
    <w:rsid w:val="00B578BF"/>
    <w:rsid w:val="00B631F4"/>
    <w:rsid w:val="00B71946"/>
    <w:rsid w:val="00B77547"/>
    <w:rsid w:val="00B86844"/>
    <w:rsid w:val="00B901E5"/>
    <w:rsid w:val="00B920C6"/>
    <w:rsid w:val="00B96D7F"/>
    <w:rsid w:val="00BA3F8F"/>
    <w:rsid w:val="00BA4F80"/>
    <w:rsid w:val="00BB1957"/>
    <w:rsid w:val="00BB2D17"/>
    <w:rsid w:val="00BC788D"/>
    <w:rsid w:val="00BD25F3"/>
    <w:rsid w:val="00BE6486"/>
    <w:rsid w:val="00BE781C"/>
    <w:rsid w:val="00BE78AA"/>
    <w:rsid w:val="00C0059B"/>
    <w:rsid w:val="00C260FB"/>
    <w:rsid w:val="00C31E1F"/>
    <w:rsid w:val="00C36DF5"/>
    <w:rsid w:val="00C37D2E"/>
    <w:rsid w:val="00C54EF0"/>
    <w:rsid w:val="00C66EF2"/>
    <w:rsid w:val="00C72DC2"/>
    <w:rsid w:val="00C7616B"/>
    <w:rsid w:val="00C83AE1"/>
    <w:rsid w:val="00C930AC"/>
    <w:rsid w:val="00C96907"/>
    <w:rsid w:val="00CA2ADA"/>
    <w:rsid w:val="00CA2FC5"/>
    <w:rsid w:val="00CA3D6B"/>
    <w:rsid w:val="00CA4D2B"/>
    <w:rsid w:val="00CA6E3B"/>
    <w:rsid w:val="00CB3B4A"/>
    <w:rsid w:val="00CC7522"/>
    <w:rsid w:val="00CE41D2"/>
    <w:rsid w:val="00CE5D31"/>
    <w:rsid w:val="00CF6B21"/>
    <w:rsid w:val="00D04EDB"/>
    <w:rsid w:val="00D24AD3"/>
    <w:rsid w:val="00D24EAB"/>
    <w:rsid w:val="00D26584"/>
    <w:rsid w:val="00D4228F"/>
    <w:rsid w:val="00D47D15"/>
    <w:rsid w:val="00D51052"/>
    <w:rsid w:val="00D51662"/>
    <w:rsid w:val="00D627BC"/>
    <w:rsid w:val="00D728B3"/>
    <w:rsid w:val="00D740F9"/>
    <w:rsid w:val="00D763F5"/>
    <w:rsid w:val="00D871B5"/>
    <w:rsid w:val="00D95C81"/>
    <w:rsid w:val="00DA1D8B"/>
    <w:rsid w:val="00DA3099"/>
    <w:rsid w:val="00DA4E0B"/>
    <w:rsid w:val="00DB371C"/>
    <w:rsid w:val="00DB420F"/>
    <w:rsid w:val="00DC23D2"/>
    <w:rsid w:val="00DE5567"/>
    <w:rsid w:val="00E0328C"/>
    <w:rsid w:val="00E07AEA"/>
    <w:rsid w:val="00E10CDC"/>
    <w:rsid w:val="00E27EB1"/>
    <w:rsid w:val="00E324B2"/>
    <w:rsid w:val="00E32B9A"/>
    <w:rsid w:val="00E3764A"/>
    <w:rsid w:val="00E442E8"/>
    <w:rsid w:val="00E4517C"/>
    <w:rsid w:val="00E51EC7"/>
    <w:rsid w:val="00E52472"/>
    <w:rsid w:val="00E5343E"/>
    <w:rsid w:val="00E54B6D"/>
    <w:rsid w:val="00E63AAE"/>
    <w:rsid w:val="00E72446"/>
    <w:rsid w:val="00E90A4D"/>
    <w:rsid w:val="00E961FF"/>
    <w:rsid w:val="00EA674C"/>
    <w:rsid w:val="00EA7654"/>
    <w:rsid w:val="00EC05AA"/>
    <w:rsid w:val="00EC436A"/>
    <w:rsid w:val="00EC5F0C"/>
    <w:rsid w:val="00EC65EC"/>
    <w:rsid w:val="00ED4796"/>
    <w:rsid w:val="00ED4E91"/>
    <w:rsid w:val="00EF77B8"/>
    <w:rsid w:val="00F0338D"/>
    <w:rsid w:val="00F17D95"/>
    <w:rsid w:val="00F22366"/>
    <w:rsid w:val="00F60291"/>
    <w:rsid w:val="00F64936"/>
    <w:rsid w:val="00F64EB5"/>
    <w:rsid w:val="00F67E76"/>
    <w:rsid w:val="00F700E9"/>
    <w:rsid w:val="00F74E0F"/>
    <w:rsid w:val="00F93D2A"/>
    <w:rsid w:val="00F955AA"/>
    <w:rsid w:val="00FC64AD"/>
    <w:rsid w:val="00FF1800"/>
    <w:rsid w:val="00FF21BF"/>
    <w:rsid w:val="00FF5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4DF8"/>
  <w15:docId w15:val="{71446241-C055-4B01-8D5F-AF3FC19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36C"/>
    <w:pPr>
      <w:spacing w:after="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autoRedefine/>
    <w:qFormat/>
    <w:rsid w:val="00830B81"/>
    <w:pPr>
      <w:keepNext/>
      <w:keepLines/>
      <w:spacing w:after="120" w:line="276" w:lineRule="auto"/>
      <w:outlineLvl w:val="0"/>
    </w:pPr>
    <w:rPr>
      <w:rFonts w:ascii="Arial" w:hAnsi="Arial" w:cs="Arial"/>
      <w:b/>
      <w:bCs/>
      <w:szCs w:val="22"/>
    </w:rPr>
  </w:style>
  <w:style w:type="paragraph" w:styleId="Nadpis3">
    <w:name w:val="heading 3"/>
    <w:basedOn w:val="Normln"/>
    <w:next w:val="Normln"/>
    <w:link w:val="Nadpis3Char"/>
    <w:uiPriority w:val="9"/>
    <w:semiHidden/>
    <w:unhideWhenUsed/>
    <w:qFormat/>
    <w:rsid w:val="004A10B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0B81"/>
    <w:rPr>
      <w:rFonts w:ascii="Arial" w:eastAsia="Times New Roman" w:hAnsi="Arial" w:cs="Arial"/>
      <w:b/>
      <w:bCs/>
      <w:lang w:eastAsia="cs-CZ"/>
    </w:rPr>
  </w:style>
  <w:style w:type="paragraph" w:customStyle="1" w:styleId="Anotace">
    <w:name w:val="Anotace"/>
    <w:basedOn w:val="Normln"/>
    <w:next w:val="Normln"/>
    <w:qFormat/>
    <w:rsid w:val="0033336C"/>
    <w:rPr>
      <w:b/>
    </w:rPr>
  </w:style>
  <w:style w:type="paragraph" w:styleId="Normlnweb">
    <w:name w:val="Normal (Web)"/>
    <w:basedOn w:val="Normln"/>
    <w:uiPriority w:val="99"/>
    <w:unhideWhenUsed/>
    <w:rsid w:val="004B193F"/>
    <w:pPr>
      <w:spacing w:before="100" w:beforeAutospacing="1" w:after="100" w:afterAutospacing="1"/>
      <w:jc w:val="left"/>
    </w:pPr>
    <w:rPr>
      <w:rFonts w:eastAsiaTheme="minorHAnsi"/>
      <w:sz w:val="24"/>
    </w:rPr>
  </w:style>
  <w:style w:type="character" w:customStyle="1" w:styleId="Nadpis3Char">
    <w:name w:val="Nadpis 3 Char"/>
    <w:basedOn w:val="Standardnpsmoodstavce"/>
    <w:link w:val="Nadpis3"/>
    <w:uiPriority w:val="9"/>
    <w:semiHidden/>
    <w:rsid w:val="004A10B6"/>
    <w:rPr>
      <w:rFonts w:asciiTheme="majorHAnsi" w:eastAsiaTheme="majorEastAsia" w:hAnsiTheme="majorHAnsi" w:cstheme="majorBidi"/>
      <w:b/>
      <w:bCs/>
      <w:color w:val="4F81BD" w:themeColor="accent1"/>
      <w:szCs w:val="24"/>
      <w:lang w:eastAsia="cs-CZ"/>
    </w:rPr>
  </w:style>
  <w:style w:type="paragraph" w:styleId="Odstavecseseznamem">
    <w:name w:val="List Paragraph"/>
    <w:basedOn w:val="Normln"/>
    <w:uiPriority w:val="34"/>
    <w:qFormat/>
    <w:rsid w:val="00E63AAE"/>
    <w:pPr>
      <w:spacing w:line="276" w:lineRule="auto"/>
      <w:ind w:left="720"/>
      <w:contextualSpacing/>
    </w:pPr>
    <w:rPr>
      <w:rFonts w:eastAsiaTheme="minorHAnsi" w:cstheme="minorBidi"/>
      <w:szCs w:val="22"/>
      <w:lang w:eastAsia="en-US"/>
    </w:rPr>
  </w:style>
  <w:style w:type="paragraph" w:styleId="Textbubliny">
    <w:name w:val="Balloon Text"/>
    <w:basedOn w:val="Normln"/>
    <w:link w:val="TextbublinyChar"/>
    <w:uiPriority w:val="99"/>
    <w:semiHidden/>
    <w:unhideWhenUsed/>
    <w:rsid w:val="00071F31"/>
    <w:rPr>
      <w:rFonts w:ascii="Tahoma" w:hAnsi="Tahoma" w:cs="Tahoma"/>
      <w:sz w:val="16"/>
      <w:szCs w:val="16"/>
    </w:rPr>
  </w:style>
  <w:style w:type="character" w:customStyle="1" w:styleId="TextbublinyChar">
    <w:name w:val="Text bubliny Char"/>
    <w:basedOn w:val="Standardnpsmoodstavce"/>
    <w:link w:val="Textbubliny"/>
    <w:uiPriority w:val="99"/>
    <w:semiHidden/>
    <w:rsid w:val="00071F31"/>
    <w:rPr>
      <w:rFonts w:ascii="Tahoma" w:eastAsia="Times New Roman" w:hAnsi="Tahoma" w:cs="Tahoma"/>
      <w:sz w:val="16"/>
      <w:szCs w:val="16"/>
      <w:lang w:eastAsia="cs-CZ"/>
    </w:rPr>
  </w:style>
  <w:style w:type="paragraph" w:styleId="Zkladntext">
    <w:name w:val="Body Text"/>
    <w:basedOn w:val="Normln"/>
    <w:link w:val="ZkladntextChar"/>
    <w:rsid w:val="00F64EB5"/>
    <w:pPr>
      <w:spacing w:after="120"/>
      <w:jc w:val="left"/>
    </w:pPr>
    <w:rPr>
      <w:rFonts w:ascii="Arial" w:hAnsi="Arial"/>
      <w:sz w:val="20"/>
      <w:szCs w:val="20"/>
    </w:rPr>
  </w:style>
  <w:style w:type="character" w:customStyle="1" w:styleId="ZkladntextChar">
    <w:name w:val="Základní text Char"/>
    <w:basedOn w:val="Standardnpsmoodstavce"/>
    <w:link w:val="Zkladntext"/>
    <w:rsid w:val="00F64EB5"/>
    <w:rPr>
      <w:rFonts w:ascii="Arial" w:eastAsia="Times New Roman" w:hAnsi="Arial" w:cs="Times New Roman"/>
      <w:sz w:val="20"/>
      <w:szCs w:val="20"/>
      <w:lang w:eastAsia="cs-CZ"/>
    </w:rPr>
  </w:style>
  <w:style w:type="paragraph" w:styleId="Textkomente">
    <w:name w:val="annotation text"/>
    <w:basedOn w:val="Normln"/>
    <w:link w:val="TextkomenteChar"/>
    <w:uiPriority w:val="99"/>
    <w:unhideWhenUsed/>
    <w:rsid w:val="008B30BB"/>
    <w:pPr>
      <w:spacing w:after="200"/>
      <w:jc w:val="left"/>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8B30BB"/>
    <w:rPr>
      <w:sz w:val="20"/>
      <w:szCs w:val="20"/>
    </w:rPr>
  </w:style>
  <w:style w:type="paragraph" w:customStyle="1" w:styleId="Default">
    <w:name w:val="Default"/>
    <w:rsid w:val="001842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43">
      <w:bodyDiv w:val="1"/>
      <w:marLeft w:val="0"/>
      <w:marRight w:val="0"/>
      <w:marTop w:val="0"/>
      <w:marBottom w:val="0"/>
      <w:divBdr>
        <w:top w:val="none" w:sz="0" w:space="0" w:color="auto"/>
        <w:left w:val="none" w:sz="0" w:space="0" w:color="auto"/>
        <w:bottom w:val="none" w:sz="0" w:space="0" w:color="auto"/>
        <w:right w:val="none" w:sz="0" w:space="0" w:color="auto"/>
      </w:divBdr>
    </w:div>
    <w:div w:id="599685168">
      <w:bodyDiv w:val="1"/>
      <w:marLeft w:val="0"/>
      <w:marRight w:val="0"/>
      <w:marTop w:val="0"/>
      <w:marBottom w:val="0"/>
      <w:divBdr>
        <w:top w:val="none" w:sz="0" w:space="0" w:color="auto"/>
        <w:left w:val="none" w:sz="0" w:space="0" w:color="auto"/>
        <w:bottom w:val="none" w:sz="0" w:space="0" w:color="auto"/>
        <w:right w:val="none" w:sz="0" w:space="0" w:color="auto"/>
      </w:divBdr>
    </w:div>
    <w:div w:id="657459549">
      <w:bodyDiv w:val="1"/>
      <w:marLeft w:val="0"/>
      <w:marRight w:val="0"/>
      <w:marTop w:val="0"/>
      <w:marBottom w:val="0"/>
      <w:divBdr>
        <w:top w:val="none" w:sz="0" w:space="0" w:color="auto"/>
        <w:left w:val="none" w:sz="0" w:space="0" w:color="auto"/>
        <w:bottom w:val="none" w:sz="0" w:space="0" w:color="auto"/>
        <w:right w:val="none" w:sz="0" w:space="0" w:color="auto"/>
      </w:divBdr>
    </w:div>
    <w:div w:id="683943899">
      <w:bodyDiv w:val="1"/>
      <w:marLeft w:val="0"/>
      <w:marRight w:val="0"/>
      <w:marTop w:val="0"/>
      <w:marBottom w:val="0"/>
      <w:divBdr>
        <w:top w:val="none" w:sz="0" w:space="0" w:color="auto"/>
        <w:left w:val="none" w:sz="0" w:space="0" w:color="auto"/>
        <w:bottom w:val="none" w:sz="0" w:space="0" w:color="auto"/>
        <w:right w:val="none" w:sz="0" w:space="0" w:color="auto"/>
      </w:divBdr>
    </w:div>
    <w:div w:id="761995112">
      <w:bodyDiv w:val="1"/>
      <w:marLeft w:val="0"/>
      <w:marRight w:val="0"/>
      <w:marTop w:val="0"/>
      <w:marBottom w:val="0"/>
      <w:divBdr>
        <w:top w:val="none" w:sz="0" w:space="0" w:color="auto"/>
        <w:left w:val="none" w:sz="0" w:space="0" w:color="auto"/>
        <w:bottom w:val="none" w:sz="0" w:space="0" w:color="auto"/>
        <w:right w:val="none" w:sz="0" w:space="0" w:color="auto"/>
      </w:divBdr>
    </w:div>
    <w:div w:id="1119757433">
      <w:bodyDiv w:val="1"/>
      <w:marLeft w:val="0"/>
      <w:marRight w:val="0"/>
      <w:marTop w:val="0"/>
      <w:marBottom w:val="0"/>
      <w:divBdr>
        <w:top w:val="none" w:sz="0" w:space="0" w:color="auto"/>
        <w:left w:val="none" w:sz="0" w:space="0" w:color="auto"/>
        <w:bottom w:val="none" w:sz="0" w:space="0" w:color="auto"/>
        <w:right w:val="none" w:sz="0" w:space="0" w:color="auto"/>
      </w:divBdr>
    </w:div>
    <w:div w:id="1313288647">
      <w:bodyDiv w:val="1"/>
      <w:marLeft w:val="0"/>
      <w:marRight w:val="0"/>
      <w:marTop w:val="0"/>
      <w:marBottom w:val="0"/>
      <w:divBdr>
        <w:top w:val="none" w:sz="0" w:space="0" w:color="auto"/>
        <w:left w:val="none" w:sz="0" w:space="0" w:color="auto"/>
        <w:bottom w:val="none" w:sz="0" w:space="0" w:color="auto"/>
        <w:right w:val="none" w:sz="0" w:space="0" w:color="auto"/>
      </w:divBdr>
    </w:div>
    <w:div w:id="1412309079">
      <w:bodyDiv w:val="1"/>
      <w:marLeft w:val="0"/>
      <w:marRight w:val="0"/>
      <w:marTop w:val="0"/>
      <w:marBottom w:val="0"/>
      <w:divBdr>
        <w:top w:val="none" w:sz="0" w:space="0" w:color="auto"/>
        <w:left w:val="none" w:sz="0" w:space="0" w:color="auto"/>
        <w:bottom w:val="none" w:sz="0" w:space="0" w:color="auto"/>
        <w:right w:val="none" w:sz="0" w:space="0" w:color="auto"/>
      </w:divBdr>
    </w:div>
    <w:div w:id="1576741998">
      <w:bodyDiv w:val="1"/>
      <w:marLeft w:val="0"/>
      <w:marRight w:val="0"/>
      <w:marTop w:val="0"/>
      <w:marBottom w:val="0"/>
      <w:divBdr>
        <w:top w:val="none" w:sz="0" w:space="0" w:color="auto"/>
        <w:left w:val="none" w:sz="0" w:space="0" w:color="auto"/>
        <w:bottom w:val="none" w:sz="0" w:space="0" w:color="auto"/>
        <w:right w:val="none" w:sz="0" w:space="0" w:color="auto"/>
      </w:divBdr>
    </w:div>
    <w:div w:id="1650986507">
      <w:bodyDiv w:val="1"/>
      <w:marLeft w:val="0"/>
      <w:marRight w:val="0"/>
      <w:marTop w:val="0"/>
      <w:marBottom w:val="0"/>
      <w:divBdr>
        <w:top w:val="none" w:sz="0" w:space="0" w:color="auto"/>
        <w:left w:val="none" w:sz="0" w:space="0" w:color="auto"/>
        <w:bottom w:val="none" w:sz="0" w:space="0" w:color="auto"/>
        <w:right w:val="none" w:sz="0" w:space="0" w:color="auto"/>
      </w:divBdr>
    </w:div>
    <w:div w:id="1708528576">
      <w:bodyDiv w:val="1"/>
      <w:marLeft w:val="0"/>
      <w:marRight w:val="0"/>
      <w:marTop w:val="0"/>
      <w:marBottom w:val="0"/>
      <w:divBdr>
        <w:top w:val="none" w:sz="0" w:space="0" w:color="auto"/>
        <w:left w:val="none" w:sz="0" w:space="0" w:color="auto"/>
        <w:bottom w:val="none" w:sz="0" w:space="0" w:color="auto"/>
        <w:right w:val="none" w:sz="0" w:space="0" w:color="auto"/>
      </w:divBdr>
    </w:div>
    <w:div w:id="1731227273">
      <w:bodyDiv w:val="1"/>
      <w:marLeft w:val="0"/>
      <w:marRight w:val="0"/>
      <w:marTop w:val="0"/>
      <w:marBottom w:val="0"/>
      <w:divBdr>
        <w:top w:val="none" w:sz="0" w:space="0" w:color="auto"/>
        <w:left w:val="none" w:sz="0" w:space="0" w:color="auto"/>
        <w:bottom w:val="none" w:sz="0" w:space="0" w:color="auto"/>
        <w:right w:val="none" w:sz="0" w:space="0" w:color="auto"/>
      </w:divBdr>
    </w:div>
    <w:div w:id="1799911220">
      <w:bodyDiv w:val="1"/>
      <w:marLeft w:val="0"/>
      <w:marRight w:val="0"/>
      <w:marTop w:val="0"/>
      <w:marBottom w:val="0"/>
      <w:divBdr>
        <w:top w:val="none" w:sz="0" w:space="0" w:color="auto"/>
        <w:left w:val="none" w:sz="0" w:space="0" w:color="auto"/>
        <w:bottom w:val="none" w:sz="0" w:space="0" w:color="auto"/>
        <w:right w:val="none" w:sz="0" w:space="0" w:color="auto"/>
      </w:divBdr>
    </w:div>
    <w:div w:id="18031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1B11-4DF0-4A16-8623-F1E77E63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779</Words>
  <Characters>4602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pokludovama</dc:creator>
  <cp:lastModifiedBy>Laryšová Veronika</cp:lastModifiedBy>
  <cp:revision>7</cp:revision>
  <cp:lastPrinted>2020-01-10T07:49:00Z</cp:lastPrinted>
  <dcterms:created xsi:type="dcterms:W3CDTF">2021-11-22T06:52:00Z</dcterms:created>
  <dcterms:modified xsi:type="dcterms:W3CDTF">2021-11-25T12:56:00Z</dcterms:modified>
</cp:coreProperties>
</file>