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11526" w14:textId="77777777" w:rsidR="005B4E59" w:rsidRDefault="005B4E59" w:rsidP="005B4E59">
      <w:pPr>
        <w:pStyle w:val="mmozprava"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Důvodová zpráva:</w:t>
      </w:r>
    </w:p>
    <w:p w14:paraId="759C6ED5" w14:textId="4E83EEE0" w:rsidR="00995021" w:rsidRPr="00995021" w:rsidRDefault="00995021" w:rsidP="00995021">
      <w:pPr>
        <w:ind w:right="-142"/>
        <w:rPr>
          <w:bCs/>
          <w:i/>
          <w:sz w:val="24"/>
          <w:szCs w:val="24"/>
        </w:rPr>
      </w:pPr>
      <w:r w:rsidRPr="00995021">
        <w:rPr>
          <w:bCs/>
          <w:i/>
          <w:sz w:val="24"/>
          <w:szCs w:val="24"/>
        </w:rPr>
        <w:t>K bodu 1-2) usnesení</w:t>
      </w:r>
    </w:p>
    <w:p w14:paraId="72A6F14F" w14:textId="77777777" w:rsidR="00F92E8D" w:rsidRDefault="00F92E8D" w:rsidP="005B4E59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Věc</w:t>
      </w:r>
    </w:p>
    <w:p w14:paraId="098465A1" w14:textId="49CA9D21" w:rsidR="00F92E8D" w:rsidRDefault="00F92E8D" w:rsidP="005B4E59">
      <w:pPr>
        <w:pStyle w:val="Zkladntext"/>
        <w:jc w:val="left"/>
        <w:rPr>
          <w:bCs/>
        </w:rPr>
      </w:pPr>
      <w:r w:rsidRPr="00F92E8D">
        <w:rPr>
          <w:bCs/>
        </w:rPr>
        <w:t>Výkup částí pozemků</w:t>
      </w:r>
      <w:r w:rsidR="0025212E">
        <w:rPr>
          <w:bCs/>
        </w:rPr>
        <w:t xml:space="preserve"> včetně stavby komunikace a příslušenství</w:t>
      </w:r>
    </w:p>
    <w:p w14:paraId="373B83C4" w14:textId="77777777" w:rsidR="00F92E8D" w:rsidRPr="00F92E8D" w:rsidRDefault="00F92E8D" w:rsidP="005B4E59">
      <w:pPr>
        <w:pStyle w:val="Zkladntext"/>
        <w:jc w:val="left"/>
        <w:rPr>
          <w:bCs/>
        </w:rPr>
      </w:pPr>
    </w:p>
    <w:p w14:paraId="013ACB7A" w14:textId="77777777" w:rsidR="00F92E8D" w:rsidRDefault="00F92E8D" w:rsidP="00F92E8D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Žadatel</w:t>
      </w:r>
    </w:p>
    <w:p w14:paraId="479CAF8F" w14:textId="464A5552" w:rsidR="00F92E8D" w:rsidRDefault="00F92E8D" w:rsidP="00F92E8D">
      <w:pPr>
        <w:pStyle w:val="Zkladntext"/>
        <w:rPr>
          <w:bCs/>
        </w:rPr>
      </w:pPr>
      <w:r>
        <w:rPr>
          <w:bCs/>
        </w:rPr>
        <w:t xml:space="preserve">Odbor </w:t>
      </w:r>
      <w:r w:rsidR="004557FD">
        <w:rPr>
          <w:bCs/>
        </w:rPr>
        <w:t>dopravy</w:t>
      </w:r>
      <w:r>
        <w:rPr>
          <w:bCs/>
        </w:rPr>
        <w:t xml:space="preserve"> MMO (příloha č. </w:t>
      </w:r>
      <w:r w:rsidR="00547E59">
        <w:rPr>
          <w:bCs/>
        </w:rPr>
        <w:t>3</w:t>
      </w:r>
      <w:r>
        <w:rPr>
          <w:bCs/>
        </w:rPr>
        <w:t xml:space="preserve">). </w:t>
      </w:r>
    </w:p>
    <w:p w14:paraId="02BDD2EA" w14:textId="125423B5" w:rsidR="00F92E8D" w:rsidRDefault="00F92E8D" w:rsidP="00F92E8D">
      <w:pPr>
        <w:pStyle w:val="Zkladntext"/>
        <w:rPr>
          <w:bCs/>
        </w:rPr>
      </w:pPr>
    </w:p>
    <w:p w14:paraId="2B0E5073" w14:textId="11D2337A" w:rsidR="00995021" w:rsidRDefault="00995021" w:rsidP="00995021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>Předmět</w:t>
      </w:r>
      <w:r w:rsidR="0025212E">
        <w:rPr>
          <w:b/>
          <w:bCs/>
          <w:u w:val="single"/>
        </w:rPr>
        <w:t xml:space="preserve"> a vlastník pozemku</w:t>
      </w:r>
    </w:p>
    <w:p w14:paraId="56C8FA89" w14:textId="450F3C70" w:rsidR="00995021" w:rsidRDefault="00995021" w:rsidP="00C77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74B">
        <w:rPr>
          <w:rFonts w:ascii="Times New Roman" w:hAnsi="Times New Roman"/>
          <w:sz w:val="24"/>
          <w:szCs w:val="24"/>
        </w:rPr>
        <w:t xml:space="preserve">Výkup části </w:t>
      </w:r>
      <w:r>
        <w:rPr>
          <w:rFonts w:ascii="Times New Roman" w:hAnsi="Times New Roman"/>
          <w:sz w:val="24"/>
          <w:szCs w:val="24"/>
        </w:rPr>
        <w:t>pozemků</w:t>
      </w:r>
      <w:r w:rsidRPr="0022674B">
        <w:rPr>
          <w:rFonts w:ascii="Times New Roman" w:hAnsi="Times New Roman"/>
          <w:sz w:val="24"/>
          <w:szCs w:val="24"/>
        </w:rPr>
        <w:t xml:space="preserve"> </w:t>
      </w:r>
      <w:r w:rsidR="008F564D">
        <w:rPr>
          <w:rFonts w:ascii="Times New Roman" w:hAnsi="Times New Roman"/>
          <w:sz w:val="24"/>
          <w:szCs w:val="24"/>
        </w:rPr>
        <w:t xml:space="preserve">včetně stavby komunikace a příslušenství </w:t>
      </w:r>
      <w:r w:rsidRPr="0022674B">
        <w:rPr>
          <w:rFonts w:ascii="Times New Roman" w:hAnsi="Times New Roman"/>
          <w:sz w:val="24"/>
          <w:szCs w:val="24"/>
        </w:rPr>
        <w:t>v </w:t>
      </w:r>
      <w:proofErr w:type="spellStart"/>
      <w:r w:rsidRPr="0022674B">
        <w:rPr>
          <w:rFonts w:ascii="Times New Roman" w:hAnsi="Times New Roman"/>
          <w:sz w:val="24"/>
          <w:szCs w:val="24"/>
        </w:rPr>
        <w:t>k.ú</w:t>
      </w:r>
      <w:proofErr w:type="spellEnd"/>
      <w:r w:rsidRPr="0022674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Moravská Ostrava</w:t>
      </w:r>
      <w:r w:rsidRPr="0022674B">
        <w:rPr>
          <w:rFonts w:ascii="Times New Roman" w:hAnsi="Times New Roman"/>
          <w:sz w:val="24"/>
          <w:szCs w:val="24"/>
        </w:rPr>
        <w:t>, obec Ostrava, a to</w:t>
      </w:r>
      <w:r>
        <w:rPr>
          <w:rFonts w:ascii="Times New Roman" w:hAnsi="Times New Roman"/>
          <w:sz w:val="24"/>
          <w:szCs w:val="24"/>
        </w:rPr>
        <w:t>:</w:t>
      </w:r>
    </w:p>
    <w:p w14:paraId="5D1C1C91" w14:textId="3EA98CAE" w:rsidR="0025212E" w:rsidRDefault="0025212E" w:rsidP="00C777AF">
      <w:pPr>
        <w:pStyle w:val="Odstavecseseznamem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část pozemku </w:t>
      </w:r>
      <w:proofErr w:type="spellStart"/>
      <w:r w:rsidR="00995021" w:rsidRPr="0025212E">
        <w:rPr>
          <w:rFonts w:ascii="Times New Roman" w:hAnsi="Times New Roman"/>
          <w:sz w:val="24"/>
          <w:szCs w:val="24"/>
        </w:rPr>
        <w:t>parc.č</w:t>
      </w:r>
      <w:proofErr w:type="spellEnd"/>
      <w:r w:rsidR="00995021" w:rsidRPr="0025212E">
        <w:rPr>
          <w:rFonts w:ascii="Times New Roman" w:hAnsi="Times New Roman"/>
          <w:sz w:val="24"/>
          <w:szCs w:val="24"/>
        </w:rPr>
        <w:t xml:space="preserve">. </w:t>
      </w:r>
      <w:r w:rsidR="00524712" w:rsidRPr="0025212E">
        <w:rPr>
          <w:rFonts w:ascii="Times New Roman" w:hAnsi="Times New Roman"/>
          <w:sz w:val="24"/>
          <w:szCs w:val="24"/>
        </w:rPr>
        <w:t>3340/1</w:t>
      </w:r>
      <w:r w:rsidR="00995021" w:rsidRPr="0025212E">
        <w:rPr>
          <w:rFonts w:ascii="Times New Roman" w:hAnsi="Times New Roman"/>
          <w:sz w:val="24"/>
          <w:szCs w:val="24"/>
        </w:rPr>
        <w:t xml:space="preserve">, dle geometrického plánu č. </w:t>
      </w:r>
      <w:r w:rsidR="00524712" w:rsidRPr="0025212E">
        <w:rPr>
          <w:rFonts w:ascii="Times New Roman" w:hAnsi="Times New Roman"/>
          <w:sz w:val="24"/>
          <w:szCs w:val="24"/>
        </w:rPr>
        <w:t>6244-113</w:t>
      </w:r>
      <w:r w:rsidR="00995021" w:rsidRPr="0025212E">
        <w:rPr>
          <w:rFonts w:ascii="Times New Roman" w:hAnsi="Times New Roman"/>
          <w:sz w:val="24"/>
          <w:szCs w:val="24"/>
        </w:rPr>
        <w:t>/20</w:t>
      </w:r>
      <w:r w:rsidR="00524712" w:rsidRPr="0025212E">
        <w:rPr>
          <w:rFonts w:ascii="Times New Roman" w:hAnsi="Times New Roman"/>
          <w:sz w:val="24"/>
          <w:szCs w:val="24"/>
        </w:rPr>
        <w:t>21</w:t>
      </w:r>
      <w:r w:rsidR="00995021" w:rsidRPr="0025212E">
        <w:rPr>
          <w:rFonts w:ascii="Times New Roman" w:hAnsi="Times New Roman"/>
          <w:sz w:val="24"/>
          <w:szCs w:val="24"/>
        </w:rPr>
        <w:t xml:space="preserve">, nově označena jako pozemek </w:t>
      </w:r>
      <w:proofErr w:type="spellStart"/>
      <w:r w:rsidR="00995021" w:rsidRPr="0025212E">
        <w:rPr>
          <w:rFonts w:ascii="Times New Roman" w:hAnsi="Times New Roman"/>
          <w:sz w:val="24"/>
          <w:szCs w:val="24"/>
        </w:rPr>
        <w:t>p</w:t>
      </w:r>
      <w:r w:rsidR="00524712" w:rsidRPr="0025212E">
        <w:rPr>
          <w:rFonts w:ascii="Times New Roman" w:hAnsi="Times New Roman"/>
          <w:sz w:val="24"/>
          <w:szCs w:val="24"/>
        </w:rPr>
        <w:t>arc</w:t>
      </w:r>
      <w:r w:rsidR="00995021" w:rsidRPr="0025212E">
        <w:rPr>
          <w:rFonts w:ascii="Times New Roman" w:hAnsi="Times New Roman"/>
          <w:sz w:val="24"/>
          <w:szCs w:val="24"/>
        </w:rPr>
        <w:t>.č</w:t>
      </w:r>
      <w:proofErr w:type="spellEnd"/>
      <w:r w:rsidR="00995021" w:rsidRPr="0025212E">
        <w:rPr>
          <w:rFonts w:ascii="Times New Roman" w:hAnsi="Times New Roman"/>
          <w:sz w:val="24"/>
          <w:szCs w:val="24"/>
        </w:rPr>
        <w:t xml:space="preserve">. </w:t>
      </w:r>
      <w:r w:rsidR="00524712" w:rsidRPr="0025212E">
        <w:rPr>
          <w:rFonts w:ascii="Times New Roman" w:hAnsi="Times New Roman"/>
          <w:sz w:val="24"/>
          <w:szCs w:val="24"/>
        </w:rPr>
        <w:t>3340/50</w:t>
      </w:r>
      <w:r w:rsidR="00995021" w:rsidRPr="0025212E">
        <w:rPr>
          <w:rFonts w:ascii="Times New Roman" w:hAnsi="Times New Roman"/>
          <w:sz w:val="24"/>
          <w:szCs w:val="24"/>
        </w:rPr>
        <w:t xml:space="preserve"> </w:t>
      </w:r>
      <w:r w:rsidR="00524712" w:rsidRPr="0025212E">
        <w:rPr>
          <w:rFonts w:ascii="Times New Roman" w:hAnsi="Times New Roman"/>
          <w:sz w:val="24"/>
          <w:szCs w:val="24"/>
        </w:rPr>
        <w:t xml:space="preserve">ostatní plocha, ostatní komunikace </w:t>
      </w:r>
      <w:r w:rsidR="00995021" w:rsidRPr="0025212E">
        <w:rPr>
          <w:rFonts w:ascii="Times New Roman" w:hAnsi="Times New Roman"/>
          <w:sz w:val="24"/>
          <w:szCs w:val="24"/>
        </w:rPr>
        <w:t xml:space="preserve">o výměře </w:t>
      </w:r>
      <w:r w:rsidR="00524712" w:rsidRPr="0025212E">
        <w:rPr>
          <w:rFonts w:ascii="Times New Roman" w:hAnsi="Times New Roman"/>
          <w:sz w:val="24"/>
          <w:szCs w:val="24"/>
        </w:rPr>
        <w:t>410</w:t>
      </w:r>
      <w:r w:rsidR="00995021" w:rsidRPr="0025212E">
        <w:rPr>
          <w:rFonts w:ascii="Times New Roman" w:hAnsi="Times New Roman"/>
          <w:sz w:val="24"/>
          <w:szCs w:val="24"/>
        </w:rPr>
        <w:t xml:space="preserve"> m</w:t>
      </w:r>
      <w:r w:rsidR="00995021" w:rsidRPr="0025212E">
        <w:rPr>
          <w:rFonts w:ascii="Times New Roman" w:hAnsi="Times New Roman"/>
          <w:sz w:val="24"/>
          <w:szCs w:val="24"/>
          <w:vertAlign w:val="superscript"/>
        </w:rPr>
        <w:t>2</w:t>
      </w:r>
      <w:r w:rsidR="00995021" w:rsidRPr="0025212E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="00995021" w:rsidRPr="0025212E">
        <w:rPr>
          <w:rFonts w:ascii="Times New Roman" w:hAnsi="Times New Roman"/>
          <w:sz w:val="24"/>
          <w:szCs w:val="24"/>
        </w:rPr>
        <w:t>ú.</w:t>
      </w:r>
      <w:proofErr w:type="spellEnd"/>
      <w:r w:rsidR="00995021" w:rsidRPr="0025212E">
        <w:rPr>
          <w:rFonts w:ascii="Times New Roman" w:hAnsi="Times New Roman"/>
          <w:sz w:val="24"/>
          <w:szCs w:val="24"/>
        </w:rPr>
        <w:t xml:space="preserve"> </w:t>
      </w:r>
      <w:r w:rsidR="00524712" w:rsidRPr="0025212E">
        <w:rPr>
          <w:rFonts w:ascii="Times New Roman" w:hAnsi="Times New Roman"/>
          <w:sz w:val="24"/>
          <w:szCs w:val="24"/>
        </w:rPr>
        <w:t>Moravská Ostrava</w:t>
      </w:r>
      <w:r w:rsidR="00995021" w:rsidRPr="0025212E">
        <w:rPr>
          <w:rFonts w:ascii="Times New Roman" w:hAnsi="Times New Roman"/>
          <w:sz w:val="24"/>
          <w:szCs w:val="24"/>
        </w:rPr>
        <w:t>, obec Ostrava</w:t>
      </w:r>
      <w:r w:rsidR="001B61B9">
        <w:rPr>
          <w:rFonts w:ascii="Times New Roman" w:hAnsi="Times New Roman"/>
          <w:sz w:val="24"/>
          <w:szCs w:val="24"/>
        </w:rPr>
        <w:t xml:space="preserve"> (dále jen „předmět převodu č. 1“)</w:t>
      </w:r>
      <w:r w:rsidR="00F97E0E">
        <w:rPr>
          <w:rFonts w:ascii="Times New Roman" w:hAnsi="Times New Roman"/>
          <w:sz w:val="24"/>
          <w:szCs w:val="24"/>
        </w:rPr>
        <w:t>,</w:t>
      </w:r>
    </w:p>
    <w:p w14:paraId="60CC6DDE" w14:textId="77777777" w:rsidR="0025212E" w:rsidRDefault="0025212E" w:rsidP="00C777AF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6CB0011" w14:textId="447E3BBB" w:rsidR="0025212E" w:rsidRPr="0025212E" w:rsidRDefault="00F97E0E" w:rsidP="00C777AF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lastníkem pozemku včetně stavby komunikace a příslušenství je společnost </w:t>
      </w:r>
      <w:proofErr w:type="spellStart"/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InterCora</w:t>
      </w:r>
      <w:proofErr w:type="spellEnd"/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s.r.o., Lochotínská 1108/18, Severní Předměstí, 301 00 Plzeň, IČO 47714018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14:paraId="4D4DB084" w14:textId="77777777" w:rsidR="0025212E" w:rsidRPr="0025212E" w:rsidRDefault="0025212E" w:rsidP="00C777AF">
      <w:pPr>
        <w:pStyle w:val="Odstavecseseznamem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084EC9A" w14:textId="6AAED75F" w:rsidR="0025212E" w:rsidRPr="0025212E" w:rsidRDefault="0025212E" w:rsidP="00C777AF">
      <w:pPr>
        <w:pStyle w:val="Odstavecseseznamem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část pozemku </w:t>
      </w:r>
      <w:proofErr w:type="spellStart"/>
      <w:r w:rsidR="00524712" w:rsidRPr="00995021">
        <w:rPr>
          <w:rFonts w:ascii="Times New Roman" w:hAnsi="Times New Roman"/>
          <w:sz w:val="24"/>
          <w:szCs w:val="24"/>
        </w:rPr>
        <w:t>p</w:t>
      </w:r>
      <w:r w:rsidR="00524712">
        <w:rPr>
          <w:rFonts w:ascii="Times New Roman" w:hAnsi="Times New Roman"/>
          <w:sz w:val="24"/>
          <w:szCs w:val="24"/>
        </w:rPr>
        <w:t>arc</w:t>
      </w:r>
      <w:r w:rsidR="00524712" w:rsidRPr="00995021">
        <w:rPr>
          <w:rFonts w:ascii="Times New Roman" w:hAnsi="Times New Roman"/>
          <w:sz w:val="24"/>
          <w:szCs w:val="24"/>
        </w:rPr>
        <w:t>.č</w:t>
      </w:r>
      <w:proofErr w:type="spellEnd"/>
      <w:r w:rsidR="00524712" w:rsidRPr="00995021">
        <w:rPr>
          <w:rFonts w:ascii="Times New Roman" w:hAnsi="Times New Roman"/>
          <w:sz w:val="24"/>
          <w:szCs w:val="24"/>
        </w:rPr>
        <w:t xml:space="preserve">. </w:t>
      </w:r>
      <w:r w:rsidR="00524712">
        <w:rPr>
          <w:rFonts w:ascii="Times New Roman" w:hAnsi="Times New Roman"/>
          <w:sz w:val="24"/>
          <w:szCs w:val="24"/>
        </w:rPr>
        <w:t>3340/7</w:t>
      </w:r>
      <w:r w:rsidR="00524712" w:rsidRPr="00995021">
        <w:rPr>
          <w:rFonts w:ascii="Times New Roman" w:hAnsi="Times New Roman"/>
          <w:sz w:val="24"/>
          <w:szCs w:val="24"/>
        </w:rPr>
        <w:t xml:space="preserve">, dle geometrického plánu č. </w:t>
      </w:r>
      <w:r w:rsidR="00524712" w:rsidRPr="00FC3292">
        <w:rPr>
          <w:rFonts w:ascii="Times New Roman" w:hAnsi="Times New Roman"/>
          <w:sz w:val="24"/>
          <w:szCs w:val="24"/>
        </w:rPr>
        <w:t>62</w:t>
      </w:r>
      <w:r w:rsidR="00FC3292" w:rsidRPr="00FC3292">
        <w:rPr>
          <w:rFonts w:ascii="Times New Roman" w:hAnsi="Times New Roman"/>
          <w:sz w:val="24"/>
          <w:szCs w:val="24"/>
        </w:rPr>
        <w:t>94</w:t>
      </w:r>
      <w:r w:rsidR="00524712" w:rsidRPr="00FC3292">
        <w:rPr>
          <w:rFonts w:ascii="Times New Roman" w:hAnsi="Times New Roman"/>
          <w:sz w:val="24"/>
          <w:szCs w:val="24"/>
        </w:rPr>
        <w:t>-</w:t>
      </w:r>
      <w:r w:rsidR="00FC3292" w:rsidRPr="00FC3292">
        <w:rPr>
          <w:rFonts w:ascii="Times New Roman" w:hAnsi="Times New Roman"/>
          <w:sz w:val="24"/>
          <w:szCs w:val="24"/>
        </w:rPr>
        <w:t>235</w:t>
      </w:r>
      <w:r w:rsidR="00524712" w:rsidRPr="00FC3292">
        <w:rPr>
          <w:rFonts w:ascii="Times New Roman" w:hAnsi="Times New Roman"/>
          <w:sz w:val="24"/>
          <w:szCs w:val="24"/>
        </w:rPr>
        <w:t xml:space="preserve">/2021, nově označena jako pozemek </w:t>
      </w:r>
      <w:proofErr w:type="spellStart"/>
      <w:r w:rsidR="00524712" w:rsidRPr="00FC3292">
        <w:rPr>
          <w:rFonts w:ascii="Times New Roman" w:hAnsi="Times New Roman"/>
          <w:sz w:val="24"/>
          <w:szCs w:val="24"/>
        </w:rPr>
        <w:t>parc.č</w:t>
      </w:r>
      <w:proofErr w:type="spellEnd"/>
      <w:r w:rsidR="00524712" w:rsidRPr="00FC3292">
        <w:rPr>
          <w:rFonts w:ascii="Times New Roman" w:hAnsi="Times New Roman"/>
          <w:sz w:val="24"/>
          <w:szCs w:val="24"/>
        </w:rPr>
        <w:t>. 3340/</w:t>
      </w:r>
      <w:r w:rsidR="00FC3292" w:rsidRPr="00FC3292">
        <w:rPr>
          <w:rFonts w:ascii="Times New Roman" w:hAnsi="Times New Roman"/>
          <w:sz w:val="24"/>
          <w:szCs w:val="24"/>
        </w:rPr>
        <w:t>53</w:t>
      </w:r>
      <w:r w:rsidR="00524712" w:rsidRPr="00FC3292">
        <w:rPr>
          <w:rFonts w:ascii="Times New Roman" w:hAnsi="Times New Roman"/>
          <w:sz w:val="24"/>
          <w:szCs w:val="24"/>
        </w:rPr>
        <w:t xml:space="preserve"> ostatní plocha, ostatní komunikace o výměře 1</w:t>
      </w:r>
      <w:r w:rsidR="00FC3292" w:rsidRPr="00FC3292">
        <w:rPr>
          <w:rFonts w:ascii="Times New Roman" w:hAnsi="Times New Roman"/>
          <w:sz w:val="24"/>
          <w:szCs w:val="24"/>
        </w:rPr>
        <w:t>196</w:t>
      </w:r>
      <w:r w:rsidR="00524712" w:rsidRPr="00FC3292">
        <w:rPr>
          <w:rFonts w:ascii="Times New Roman" w:hAnsi="Times New Roman"/>
          <w:sz w:val="24"/>
          <w:szCs w:val="24"/>
        </w:rPr>
        <w:t xml:space="preserve"> m</w:t>
      </w:r>
      <w:r w:rsidR="00524712" w:rsidRPr="00FC3292">
        <w:rPr>
          <w:rFonts w:ascii="Times New Roman" w:hAnsi="Times New Roman"/>
          <w:sz w:val="24"/>
          <w:szCs w:val="24"/>
          <w:vertAlign w:val="superscript"/>
        </w:rPr>
        <w:t>2</w:t>
      </w:r>
      <w:r w:rsidR="00524712" w:rsidRPr="00FC3292">
        <w:rPr>
          <w:rFonts w:ascii="Times New Roman" w:hAnsi="Times New Roman"/>
          <w:sz w:val="24"/>
          <w:szCs w:val="24"/>
        </w:rPr>
        <w:t xml:space="preserve">, k. </w:t>
      </w:r>
      <w:proofErr w:type="spellStart"/>
      <w:r w:rsidR="00524712" w:rsidRPr="00FC3292">
        <w:rPr>
          <w:rFonts w:ascii="Times New Roman" w:hAnsi="Times New Roman"/>
          <w:sz w:val="24"/>
          <w:szCs w:val="24"/>
        </w:rPr>
        <w:t>ú.</w:t>
      </w:r>
      <w:proofErr w:type="spellEnd"/>
      <w:r w:rsidR="00524712" w:rsidRPr="00FC3292">
        <w:rPr>
          <w:rFonts w:ascii="Times New Roman" w:hAnsi="Times New Roman"/>
          <w:sz w:val="24"/>
          <w:szCs w:val="24"/>
        </w:rPr>
        <w:t xml:space="preserve"> Moravská Ostrava, obec Ostrava</w:t>
      </w:r>
      <w:r w:rsidR="001B61B9" w:rsidRPr="00FC3292">
        <w:rPr>
          <w:rFonts w:ascii="Times New Roman" w:hAnsi="Times New Roman"/>
          <w:sz w:val="24"/>
          <w:szCs w:val="24"/>
        </w:rPr>
        <w:t xml:space="preserve"> (dále jen „předmět převodu</w:t>
      </w:r>
      <w:r w:rsidR="001B61B9">
        <w:rPr>
          <w:rFonts w:ascii="Times New Roman" w:hAnsi="Times New Roman"/>
          <w:sz w:val="24"/>
          <w:szCs w:val="24"/>
        </w:rPr>
        <w:t xml:space="preserve"> č. 2“)</w:t>
      </w:r>
      <w:r w:rsidR="00F97E0E">
        <w:rPr>
          <w:rFonts w:ascii="Times New Roman" w:hAnsi="Times New Roman"/>
          <w:sz w:val="24"/>
          <w:szCs w:val="24"/>
        </w:rPr>
        <w:t>,</w:t>
      </w:r>
    </w:p>
    <w:p w14:paraId="79ED5376" w14:textId="77777777" w:rsidR="0025212E" w:rsidRDefault="0025212E" w:rsidP="00C777AF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538BA28" w14:textId="4AF4103E" w:rsidR="0025212E" w:rsidRPr="0025212E" w:rsidRDefault="00547E59" w:rsidP="00C777AF">
      <w:pPr>
        <w:pStyle w:val="Odstavecseseznamem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lastníkem pozemku </w:t>
      </w:r>
      <w:proofErr w:type="spellStart"/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parc</w:t>
      </w:r>
      <w:proofErr w:type="spellEnd"/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č. 3340/7 včetně stavby komunikace a příslušenství je </w:t>
      </w:r>
      <w:r w:rsidR="00B243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společnost </w:t>
      </w:r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M&amp;V HOLDING a.s., 4. </w:t>
      </w:r>
      <w:r w:rsidR="007746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25212E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větna 288, 755 01 Vsetín, IČO 27825710</w:t>
      </w:r>
    </w:p>
    <w:p w14:paraId="5F311D13" w14:textId="18C146A0" w:rsidR="00995021" w:rsidRPr="0025212E" w:rsidRDefault="00995021" w:rsidP="00C77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12E">
        <w:rPr>
          <w:rFonts w:ascii="Times New Roman" w:hAnsi="Times New Roman"/>
          <w:sz w:val="24"/>
          <w:szCs w:val="24"/>
        </w:rPr>
        <w:t>(příloha č. 1</w:t>
      </w:r>
      <w:r w:rsidR="00547E59">
        <w:rPr>
          <w:rFonts w:ascii="Times New Roman" w:hAnsi="Times New Roman"/>
          <w:sz w:val="24"/>
          <w:szCs w:val="24"/>
        </w:rPr>
        <w:t>,</w:t>
      </w:r>
      <w:r w:rsidR="004B7D18">
        <w:rPr>
          <w:rFonts w:ascii="Times New Roman" w:hAnsi="Times New Roman"/>
          <w:sz w:val="24"/>
          <w:szCs w:val="24"/>
        </w:rPr>
        <w:t xml:space="preserve"> </w:t>
      </w:r>
      <w:r w:rsidR="00547E59">
        <w:rPr>
          <w:rFonts w:ascii="Times New Roman" w:hAnsi="Times New Roman"/>
          <w:sz w:val="24"/>
          <w:szCs w:val="24"/>
        </w:rPr>
        <w:t>2</w:t>
      </w:r>
      <w:r w:rsidRPr="0025212E">
        <w:rPr>
          <w:rFonts w:ascii="Times New Roman" w:hAnsi="Times New Roman"/>
          <w:sz w:val="24"/>
          <w:szCs w:val="24"/>
        </w:rPr>
        <w:t>)</w:t>
      </w:r>
      <w:r w:rsidR="00F97E0E">
        <w:rPr>
          <w:rFonts w:ascii="Times New Roman" w:hAnsi="Times New Roman"/>
          <w:sz w:val="24"/>
          <w:szCs w:val="24"/>
        </w:rPr>
        <w:t>.</w:t>
      </w:r>
    </w:p>
    <w:p w14:paraId="2905851C" w14:textId="6863A425" w:rsidR="0025212E" w:rsidRDefault="0025212E" w:rsidP="00C77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7510F62" w14:textId="208FDF5B" w:rsidR="00F92E8D" w:rsidRDefault="00F92E8D" w:rsidP="00F92E8D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Účel</w:t>
      </w:r>
      <w:r w:rsidR="00934A31">
        <w:rPr>
          <w:b/>
          <w:bCs/>
          <w:u w:val="single"/>
        </w:rPr>
        <w:t xml:space="preserve"> převodu </w:t>
      </w:r>
    </w:p>
    <w:p w14:paraId="1D64CD1B" w14:textId="369263B8" w:rsidR="00934A31" w:rsidRDefault="006A7C88" w:rsidP="004D57C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bookmarkStart w:id="0" w:name="_Hlk71876939"/>
      <w:r w:rsidRPr="006A7C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Ředitelství silnic a dálnic ČR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učinilo městu </w:t>
      </w:r>
      <w:r w:rsidRPr="006A7C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nabíd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</w:t>
      </w:r>
      <w:r w:rsidRPr="006A7C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bezúplatně převést mostní objekt ev. č. 56-028, který přemosťuje ulici Místeckou (silnice I/56) a vede k obchodnímu centru Kaufland. Převzetí mostu a pozemků pod ním má pro město význam pouze tehdy, bude-li zajištěno propojení mostního objektu s ulicí Vítkovickou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 tím vznikne </w:t>
      </w:r>
      <w:r w:rsidRPr="006A7C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ucelený úsek zařaditelný mezi místní komunikace I. </w:t>
      </w:r>
      <w:r w:rsidR="006832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6A7C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0BC7FB2C" w14:textId="5551D7B3" w:rsidR="00F92E8D" w:rsidRPr="006A7C88" w:rsidRDefault="00995021" w:rsidP="00C777A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Uskutečnění tohoto propojení je závislé na převodu</w:t>
      </w:r>
      <w:r w:rsidR="001B61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částí pozemků,</w:t>
      </w:r>
      <w:r w:rsidR="00934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které jsou předmětem převodu.</w:t>
      </w:r>
    </w:p>
    <w:bookmarkEnd w:id="0"/>
    <w:p w14:paraId="012A0642" w14:textId="77777777" w:rsidR="00683242" w:rsidRDefault="00683242" w:rsidP="00F92E8D">
      <w:pPr>
        <w:pStyle w:val="mmoradkovani"/>
        <w:spacing w:line="240" w:lineRule="auto"/>
        <w:ind w:right="-425"/>
        <w:jc w:val="both"/>
        <w:rPr>
          <w:rFonts w:ascii="Times New Roman" w:hAnsi="Times New Roman"/>
          <w:b/>
          <w:szCs w:val="24"/>
          <w:u w:val="single"/>
        </w:rPr>
      </w:pPr>
    </w:p>
    <w:p w14:paraId="11FB85ED" w14:textId="3B748BF5" w:rsidR="00F92E8D" w:rsidRDefault="00F92E8D" w:rsidP="00F92E8D">
      <w:pPr>
        <w:pStyle w:val="mmoradkovani"/>
        <w:spacing w:line="240" w:lineRule="auto"/>
        <w:ind w:right="-425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Stanoviska</w:t>
      </w:r>
    </w:p>
    <w:p w14:paraId="794D9EC0" w14:textId="39C64C92" w:rsidR="00F92E8D" w:rsidRPr="007443EC" w:rsidRDefault="00F92E8D" w:rsidP="00F92E8D">
      <w:pPr>
        <w:pStyle w:val="mmoradkovani"/>
        <w:spacing w:line="240" w:lineRule="auto"/>
        <w:jc w:val="both"/>
        <w:rPr>
          <w:rFonts w:ascii="Times New Roman" w:hAnsi="Times New Roman"/>
          <w:iCs/>
          <w:szCs w:val="24"/>
        </w:rPr>
      </w:pPr>
      <w:r w:rsidRPr="007443EC">
        <w:rPr>
          <w:rFonts w:ascii="Times New Roman" w:hAnsi="Times New Roman"/>
          <w:iCs/>
          <w:szCs w:val="24"/>
        </w:rPr>
        <w:t>S ohledem na charakter materiálu nebyla odborem majetkovým vyž</w:t>
      </w:r>
      <w:r w:rsidR="007443EC">
        <w:rPr>
          <w:rFonts w:ascii="Times New Roman" w:hAnsi="Times New Roman"/>
          <w:iCs/>
          <w:szCs w:val="24"/>
        </w:rPr>
        <w:t>ádána</w:t>
      </w:r>
      <w:r w:rsidRPr="007443EC">
        <w:rPr>
          <w:rFonts w:ascii="Times New Roman" w:hAnsi="Times New Roman"/>
          <w:iCs/>
          <w:szCs w:val="24"/>
        </w:rPr>
        <w:t xml:space="preserve"> stanoviska odvětvových odborů ani městského obvodu.</w:t>
      </w:r>
    </w:p>
    <w:p w14:paraId="69186C53" w14:textId="77777777" w:rsidR="004D57C4" w:rsidRPr="004B7D18" w:rsidRDefault="004D57C4" w:rsidP="004B7D18">
      <w:pPr>
        <w:spacing w:after="0"/>
        <w:ind w:right="-142"/>
        <w:rPr>
          <w:bCs/>
          <w:iCs/>
        </w:rPr>
      </w:pPr>
    </w:p>
    <w:p w14:paraId="2E764EB6" w14:textId="77777777" w:rsidR="005B4E59" w:rsidRDefault="005B4E59" w:rsidP="004B7D1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Cena</w:t>
      </w:r>
    </w:p>
    <w:p w14:paraId="249DE03E" w14:textId="77777777" w:rsidR="00C777AF" w:rsidRPr="00F97E0E" w:rsidRDefault="00C777AF" w:rsidP="00C777AF">
      <w:pPr>
        <w:ind w:right="-142"/>
        <w:rPr>
          <w:bCs/>
          <w:i/>
          <w:sz w:val="24"/>
          <w:szCs w:val="24"/>
        </w:rPr>
      </w:pPr>
      <w:r w:rsidRPr="00F97E0E">
        <w:rPr>
          <w:bCs/>
          <w:i/>
          <w:sz w:val="24"/>
          <w:szCs w:val="24"/>
        </w:rPr>
        <w:t>K bodu 1) usnesení</w:t>
      </w:r>
    </w:p>
    <w:p w14:paraId="0BB660AE" w14:textId="158A8250" w:rsidR="00DD3B26" w:rsidRPr="004D57C4" w:rsidRDefault="00DD3B26" w:rsidP="002267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si sjednávají kupní cenu za předmět převodu </w:t>
      </w:r>
      <w:r w:rsidR="001B61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 w:rsidR="00F97E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B61B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 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celkové výši </w:t>
      </w:r>
      <w:r w:rsidR="00683242"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0.</w:t>
      </w:r>
      <w:r w:rsidR="00683242"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Kč, tj. </w:t>
      </w:r>
      <w:r w:rsidR="00683242"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cca 7</w:t>
      </w:r>
      <w:r w:rsidR="006B49F9"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Kč/m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1E83249D" w14:textId="77777777" w:rsidR="00547E59" w:rsidRDefault="00547E59" w:rsidP="0022674B">
      <w:pPr>
        <w:pStyle w:val="Zkladntext"/>
        <w:rPr>
          <w:bCs/>
        </w:rPr>
      </w:pPr>
    </w:p>
    <w:p w14:paraId="27EFFE4B" w14:textId="6F2E44D9" w:rsidR="00AA23DE" w:rsidRPr="004D57C4" w:rsidRDefault="00AA23DE" w:rsidP="00AA2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Uvedený předmět převodu je potřebné nab</w:t>
      </w:r>
      <w:r w:rsidR="008F79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 vzhledem k výše uvedenému účelu převodu. S ohledem na nízkou kupní cenu, nebyl vypracován znalecký posudek, když sousední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nemovitost (předmět převodu č. 2) byla oceněna částkou v rámci ceny obvyklé cca na</w:t>
      </w:r>
      <w:r w:rsidR="008F79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496 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Kč/m</w:t>
      </w:r>
      <w:r w:rsidRPr="00C777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předmět převodu č. 1 se pořizuje za cenu73,- Kč/</w:t>
      </w:r>
      <w:r w:rsidRPr="00AA23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C777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Uvedené nemovitosti jsou srovnatelné a je zřejmé, že cena obvyklá předmětu převodu č. 1 tak bude podobná ceně obvyklé předmětu převodu č. 2. Z uvedeného je možné dovodit, že se pořizuje předmět převodu č. 1 za cenu nižší, než je cena obvyklá.</w:t>
      </w:r>
    </w:p>
    <w:p w14:paraId="4E2D539D" w14:textId="77777777" w:rsidR="004B7D18" w:rsidRPr="004D57C4" w:rsidRDefault="004B7D18" w:rsidP="00D65DC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5486E1F" w14:textId="01EF9932" w:rsidR="004D57C4" w:rsidRPr="00F97E0E" w:rsidRDefault="004D57C4" w:rsidP="00C777AF">
      <w:pPr>
        <w:spacing w:after="0"/>
        <w:ind w:right="-142"/>
        <w:rPr>
          <w:bCs/>
          <w:i/>
          <w:sz w:val="24"/>
          <w:szCs w:val="24"/>
        </w:rPr>
      </w:pPr>
      <w:r w:rsidRPr="00F97E0E">
        <w:rPr>
          <w:bCs/>
          <w:i/>
          <w:sz w:val="24"/>
          <w:szCs w:val="24"/>
        </w:rPr>
        <w:t>K bodu 2) usnesení</w:t>
      </w:r>
    </w:p>
    <w:p w14:paraId="200BDFBE" w14:textId="77777777" w:rsidR="00C777AF" w:rsidRDefault="00C777AF" w:rsidP="00C77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58D397E" w14:textId="6B77EB37" w:rsidR="00C777AF" w:rsidRPr="004D57C4" w:rsidRDefault="00C777AF" w:rsidP="00C77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Smluvní strany si sjednávají kupní cenu za předmět převodu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 w:rsidR="00BA4C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F97E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 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celkové výši 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 w:rsidR="004C2F84"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631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4C2F84"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00 Kč, tj. cca 2200 Kč/m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3238BB4D" w14:textId="77777777" w:rsidR="00C777AF" w:rsidRPr="0014126B" w:rsidRDefault="00C777AF" w:rsidP="00C777AF">
      <w:pPr>
        <w:spacing w:after="0"/>
        <w:ind w:right="-142"/>
        <w:rPr>
          <w:bCs/>
          <w:i/>
        </w:rPr>
      </w:pPr>
    </w:p>
    <w:p w14:paraId="28F31EAA" w14:textId="34E9D11E" w:rsidR="00AA23DE" w:rsidRPr="004D57C4" w:rsidRDefault="004D57C4" w:rsidP="00AA2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Znalcem </w:t>
      </w:r>
      <w:proofErr w:type="spellStart"/>
      <w:r w:rsidR="00665A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xxxxx</w:t>
      </w:r>
      <w:proofErr w:type="spellEnd"/>
      <w:r w:rsidR="00665A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65A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xxxxxxxxxx</w:t>
      </w:r>
      <w:proofErr w:type="spellEnd"/>
      <w:r w:rsidR="00665A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 vypracován znalecký posudek</w:t>
      </w:r>
      <w:r w:rsidR="002A05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předmětu převodu,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</w:t>
      </w:r>
      <w:r w:rsidR="00BA4C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kterém je předmět převodu oceněn celkovou </w:t>
      </w:r>
      <w:r w:rsidR="00C777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částkou 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výši 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 w:rsidR="004C2F84"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</w:t>
      </w:r>
      <w:r w:rsidR="00987A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4C2F84"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.82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0 Kč, tj. </w:t>
      </w:r>
      <w:r w:rsidR="004532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cca </w:t>
      </w:r>
      <w:r w:rsidRP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</w:t>
      </w:r>
      <w:r w:rsidR="00987A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496</w:t>
      </w:r>
      <w:r w:rsidR="004532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Kč/m</w:t>
      </w:r>
      <w:r w:rsidRPr="00C777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>2</w:t>
      </w:r>
      <w:r w:rsidR="00C777A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AA23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 uvedeného je možné dovodit, že se pořizuje předmět převodu č. 2 za cenu nižší, než je cena obvyklá.</w:t>
      </w:r>
    </w:p>
    <w:p w14:paraId="660DB772" w14:textId="11EC1B7B" w:rsidR="00C777AF" w:rsidRPr="004D57C4" w:rsidRDefault="00C777AF" w:rsidP="004D5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7E69D85" w14:textId="77777777" w:rsidR="00C777AF" w:rsidRPr="004D57C4" w:rsidRDefault="00C777AF" w:rsidP="00C777A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D57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Uvedený znalecký posudek je k dispozici na odboru majetkovém.</w:t>
      </w:r>
    </w:p>
    <w:p w14:paraId="56BE1DE7" w14:textId="5E289A55" w:rsidR="004D57C4" w:rsidRDefault="004D57C4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358EB5C1" w14:textId="77777777" w:rsidR="008E274B" w:rsidRDefault="008E274B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19CE68FB" w14:textId="77777777" w:rsidR="008E274B" w:rsidRPr="00995021" w:rsidRDefault="008E274B" w:rsidP="008E274B">
      <w:pPr>
        <w:ind w:right="-142"/>
        <w:rPr>
          <w:bCs/>
          <w:i/>
          <w:sz w:val="24"/>
          <w:szCs w:val="24"/>
        </w:rPr>
      </w:pPr>
      <w:r w:rsidRPr="00995021">
        <w:rPr>
          <w:bCs/>
          <w:i/>
          <w:sz w:val="24"/>
          <w:szCs w:val="24"/>
        </w:rPr>
        <w:t>K bodu 1-2) usnesení</w:t>
      </w:r>
    </w:p>
    <w:p w14:paraId="2FE2C304" w14:textId="29684934" w:rsidR="004B7D18" w:rsidRDefault="00B3775A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</w:t>
      </w:r>
      <w:r w:rsidRPr="00B3775A">
        <w:rPr>
          <w:rFonts w:ascii="Times New Roman" w:hAnsi="Times New Roman"/>
          <w:b/>
          <w:bCs/>
          <w:sz w:val="24"/>
          <w:szCs w:val="24"/>
          <w:u w:val="single"/>
        </w:rPr>
        <w:t>atížení</w:t>
      </w:r>
    </w:p>
    <w:p w14:paraId="2A967F7C" w14:textId="1F069F40" w:rsidR="008E274B" w:rsidRDefault="008E274B" w:rsidP="008E274B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74B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předmětu převodu neváznou žádné dluhy, věcná břemena, zástavní práva ani jiné právní povinnosti vůči třetím osobám s výjimkou věcných břemen, specifikovaných na listu vlastnictví č. 9288 </w:t>
      </w:r>
      <w:r w:rsidR="00D14717">
        <w:rPr>
          <w:rFonts w:ascii="Times New Roman" w:hAnsi="Times New Roman"/>
          <w:sz w:val="24"/>
          <w:szCs w:val="24"/>
        </w:rPr>
        <w:t xml:space="preserve">a č. 9905 </w:t>
      </w:r>
      <w:r>
        <w:rPr>
          <w:rFonts w:ascii="Times New Roman" w:hAnsi="Times New Roman"/>
          <w:sz w:val="24"/>
          <w:szCs w:val="24"/>
        </w:rPr>
        <w:t xml:space="preserve">pro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 Moravská Ostrava, obec Ostrava a vad níže uvedených.</w:t>
      </w:r>
    </w:p>
    <w:p w14:paraId="69B2C77A" w14:textId="77777777" w:rsidR="008E274B" w:rsidRPr="008E274B" w:rsidRDefault="008E274B" w:rsidP="008E274B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14:paraId="43DA765B" w14:textId="36C649C8" w:rsidR="00B3775A" w:rsidRPr="00061C59" w:rsidRDefault="00B3775A" w:rsidP="00B37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61C59">
        <w:rPr>
          <w:rFonts w:ascii="Times New Roman" w:hAnsi="Times New Roman"/>
          <w:sz w:val="24"/>
          <w:szCs w:val="24"/>
        </w:rPr>
        <w:t> část</w:t>
      </w:r>
      <w:r w:rsidR="0077466F">
        <w:rPr>
          <w:rFonts w:ascii="Times New Roman" w:hAnsi="Times New Roman"/>
          <w:sz w:val="24"/>
          <w:szCs w:val="24"/>
        </w:rPr>
        <w:t>ech</w:t>
      </w:r>
      <w:r w:rsidRPr="00061C59">
        <w:rPr>
          <w:rFonts w:ascii="Times New Roman" w:hAnsi="Times New Roman"/>
          <w:sz w:val="24"/>
          <w:szCs w:val="24"/>
        </w:rPr>
        <w:t xml:space="preserve"> nově vznikl</w:t>
      </w:r>
      <w:r>
        <w:rPr>
          <w:rFonts w:ascii="Times New Roman" w:hAnsi="Times New Roman"/>
          <w:sz w:val="24"/>
          <w:szCs w:val="24"/>
        </w:rPr>
        <w:t>ých</w:t>
      </w:r>
      <w:r w:rsidRPr="00061C59">
        <w:rPr>
          <w:rFonts w:ascii="Times New Roman" w:hAnsi="Times New Roman"/>
          <w:sz w:val="24"/>
          <w:szCs w:val="24"/>
        </w:rPr>
        <w:t xml:space="preserve"> pozemk</w:t>
      </w:r>
      <w:r>
        <w:rPr>
          <w:rFonts w:ascii="Times New Roman" w:hAnsi="Times New Roman"/>
          <w:sz w:val="24"/>
          <w:szCs w:val="24"/>
        </w:rPr>
        <w:t>ů</w:t>
      </w:r>
      <w:r w:rsidRPr="00061C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C59">
        <w:rPr>
          <w:rFonts w:ascii="Times New Roman" w:hAnsi="Times New Roman"/>
          <w:sz w:val="24"/>
          <w:szCs w:val="24"/>
        </w:rPr>
        <w:t>parc.č</w:t>
      </w:r>
      <w:proofErr w:type="spellEnd"/>
      <w:r w:rsidRPr="00061C59">
        <w:rPr>
          <w:rFonts w:ascii="Times New Roman" w:hAnsi="Times New Roman"/>
          <w:sz w:val="24"/>
          <w:szCs w:val="24"/>
        </w:rPr>
        <w:t>. 3340/50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3340/</w:t>
      </w:r>
      <w:r w:rsidR="0034540A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v</w:t>
      </w:r>
      <w:r w:rsidRPr="00061C59">
        <w:rPr>
          <w:rFonts w:ascii="Times New Roman" w:hAnsi="Times New Roman"/>
          <w:sz w:val="24"/>
          <w:szCs w:val="24"/>
        </w:rPr>
        <w:t xml:space="preserve"> k. </w:t>
      </w:r>
      <w:proofErr w:type="spellStart"/>
      <w:r w:rsidRPr="00061C59">
        <w:rPr>
          <w:rFonts w:ascii="Times New Roman" w:hAnsi="Times New Roman"/>
          <w:sz w:val="24"/>
          <w:szCs w:val="24"/>
        </w:rPr>
        <w:t>ú.</w:t>
      </w:r>
      <w:proofErr w:type="spellEnd"/>
      <w:r w:rsidRPr="00061C59">
        <w:rPr>
          <w:rFonts w:ascii="Times New Roman" w:hAnsi="Times New Roman"/>
          <w:sz w:val="24"/>
          <w:szCs w:val="24"/>
        </w:rPr>
        <w:t xml:space="preserve"> Moravská Ostrava, obec Ostrava, jsou uloženy inženýrské sítě (podzemní vedení komunikační sítě ve</w:t>
      </w:r>
      <w:r>
        <w:rPr>
          <w:rFonts w:ascii="Times New Roman" w:hAnsi="Times New Roman"/>
          <w:sz w:val="24"/>
          <w:szCs w:val="24"/>
        </w:rPr>
        <w:t> </w:t>
      </w:r>
      <w:r w:rsidRPr="00061C59">
        <w:rPr>
          <w:rFonts w:ascii="Times New Roman" w:hAnsi="Times New Roman"/>
          <w:sz w:val="24"/>
          <w:szCs w:val="24"/>
        </w:rPr>
        <w:t xml:space="preserve">vlastnictví společnosti CETIN, a.s., podzemní vedení tepelných sítí ve správě </w:t>
      </w:r>
      <w:proofErr w:type="spellStart"/>
      <w:r w:rsidRPr="00061C59">
        <w:rPr>
          <w:rFonts w:ascii="Times New Roman" w:hAnsi="Times New Roman"/>
          <w:sz w:val="24"/>
          <w:szCs w:val="24"/>
        </w:rPr>
        <w:t>Veolia</w:t>
      </w:r>
      <w:proofErr w:type="spellEnd"/>
      <w:r w:rsidRPr="00061C59">
        <w:rPr>
          <w:rFonts w:ascii="Times New Roman" w:hAnsi="Times New Roman"/>
          <w:sz w:val="24"/>
          <w:szCs w:val="24"/>
        </w:rPr>
        <w:t xml:space="preserve"> ČR, a.s., podzemní vedení komunikační sítě ve vlastnictví </w:t>
      </w:r>
      <w:proofErr w:type="spellStart"/>
      <w:r w:rsidRPr="00061C59">
        <w:rPr>
          <w:rFonts w:ascii="Times New Roman" w:hAnsi="Times New Roman"/>
          <w:sz w:val="24"/>
          <w:szCs w:val="24"/>
        </w:rPr>
        <w:t>Telco</w:t>
      </w:r>
      <w:proofErr w:type="spellEnd"/>
      <w:r w:rsidRPr="00061C59">
        <w:rPr>
          <w:rFonts w:ascii="Times New Roman" w:hAnsi="Times New Roman"/>
          <w:sz w:val="24"/>
          <w:szCs w:val="24"/>
        </w:rPr>
        <w:t xml:space="preserve"> pro Servis, a.s., vodovod vč. ochranného pásma ve vlastnictví Ostravské vodárny a kanalizace a.s., podzemní vedení sítě NN a VN ve vlastnictví ČEZ Distribuce</w:t>
      </w:r>
      <w:r>
        <w:rPr>
          <w:rFonts w:ascii="Times New Roman" w:hAnsi="Times New Roman"/>
          <w:sz w:val="24"/>
          <w:szCs w:val="24"/>
        </w:rPr>
        <w:t xml:space="preserve"> a podzemní vedení veřejného osvětlení ve vlastnictví kupujícího</w:t>
      </w:r>
      <w:r w:rsidRPr="00061C59">
        <w:rPr>
          <w:rFonts w:ascii="Times New Roman" w:hAnsi="Times New Roman"/>
          <w:sz w:val="24"/>
          <w:szCs w:val="24"/>
        </w:rPr>
        <w:t>).</w:t>
      </w:r>
    </w:p>
    <w:p w14:paraId="20CD0D7C" w14:textId="4B91CEDC" w:rsidR="00B3775A" w:rsidRDefault="00B3775A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2F8167" w14:textId="77777777" w:rsidR="00C97EE8" w:rsidRDefault="00C97EE8" w:rsidP="0077466F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BBC8E" w14:textId="451CD333" w:rsidR="00C97EE8" w:rsidRPr="00C97EE8" w:rsidRDefault="00C97EE8" w:rsidP="0077466F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97EE8">
        <w:rPr>
          <w:rFonts w:ascii="Times New Roman" w:hAnsi="Times New Roman"/>
          <w:b/>
          <w:bCs/>
          <w:sz w:val="24"/>
          <w:szCs w:val="24"/>
          <w:u w:val="single"/>
        </w:rPr>
        <w:t>Situace</w:t>
      </w:r>
    </w:p>
    <w:p w14:paraId="4021E015" w14:textId="315AEB36" w:rsidR="009D1C95" w:rsidRDefault="00C97EE8" w:rsidP="0077466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Majetkový odbor již v červnu letošního roku připravil kupní smlouvy, které zaslal k odsouhlasení prodávajícím. Společnost </w:t>
      </w:r>
      <w:r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M&amp;V HOLDING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nesouhlasila s výkupem části pozemku dle</w:t>
      </w:r>
      <w:r>
        <w:rPr>
          <w:rFonts w:ascii="Times New Roman" w:hAnsi="Times New Roman"/>
          <w:sz w:val="24"/>
          <w:szCs w:val="24"/>
        </w:rPr>
        <w:t xml:space="preserve"> vyhotoveného geometrického plánu č. </w:t>
      </w:r>
      <w:r w:rsidRPr="0025212E">
        <w:rPr>
          <w:rFonts w:ascii="Times New Roman" w:hAnsi="Times New Roman"/>
          <w:sz w:val="24"/>
          <w:szCs w:val="24"/>
        </w:rPr>
        <w:t>6244-113/2021</w:t>
      </w:r>
      <w:r>
        <w:rPr>
          <w:rFonts w:ascii="Times New Roman" w:hAnsi="Times New Roman"/>
          <w:sz w:val="24"/>
          <w:szCs w:val="24"/>
        </w:rPr>
        <w:t>, přestože</w:t>
      </w:r>
      <w:r w:rsidR="009D1C95">
        <w:rPr>
          <w:rFonts w:ascii="Times New Roman" w:hAnsi="Times New Roman"/>
          <w:sz w:val="24"/>
          <w:szCs w:val="24"/>
        </w:rPr>
        <w:t xml:space="preserve"> s tímto dělením souhlasila</w:t>
      </w:r>
      <w:r>
        <w:rPr>
          <w:rFonts w:ascii="Times New Roman" w:hAnsi="Times New Roman"/>
          <w:sz w:val="24"/>
          <w:szCs w:val="24"/>
        </w:rPr>
        <w:t xml:space="preserve"> na jednání, které se uskutečnilo na místě samém za jejich účasti a za přítomnosti referenta odboru dopravy a referenta </w:t>
      </w:r>
      <w:r w:rsidR="009D1C9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stravsk</w:t>
      </w:r>
      <w:r w:rsidR="009D1C95">
        <w:rPr>
          <w:rFonts w:ascii="Times New Roman" w:hAnsi="Times New Roman"/>
          <w:sz w:val="24"/>
          <w:szCs w:val="24"/>
        </w:rPr>
        <w:t>ých komunikací</w:t>
      </w:r>
      <w:r w:rsidR="002A0511">
        <w:rPr>
          <w:rFonts w:ascii="Times New Roman" w:hAnsi="Times New Roman"/>
          <w:sz w:val="24"/>
          <w:szCs w:val="24"/>
        </w:rPr>
        <w:t xml:space="preserve">, a.s. </w:t>
      </w:r>
      <w:r w:rsidR="009D1C95">
        <w:rPr>
          <w:rFonts w:ascii="Times New Roman" w:hAnsi="Times New Roman"/>
          <w:sz w:val="24"/>
          <w:szCs w:val="24"/>
        </w:rPr>
        <w:t>Důvodem jejich nesouhlasu byl požadavek na zachování parkovacích míst, která byla schválena vydaným „Příkazem o</w:t>
      </w:r>
      <w:r w:rsidR="0034540A">
        <w:rPr>
          <w:rFonts w:ascii="Times New Roman" w:hAnsi="Times New Roman"/>
          <w:sz w:val="24"/>
          <w:szCs w:val="24"/>
        </w:rPr>
        <w:t> </w:t>
      </w:r>
      <w:r w:rsidR="009D1C95">
        <w:rPr>
          <w:rFonts w:ascii="Times New Roman" w:hAnsi="Times New Roman"/>
          <w:sz w:val="24"/>
          <w:szCs w:val="24"/>
        </w:rPr>
        <w:t xml:space="preserve">dopravním značení (trvalém) pod čj. </w:t>
      </w:r>
      <w:proofErr w:type="spellStart"/>
      <w:r w:rsidR="009D1C95">
        <w:rPr>
          <w:rFonts w:ascii="Times New Roman" w:hAnsi="Times New Roman"/>
          <w:sz w:val="24"/>
          <w:szCs w:val="24"/>
        </w:rPr>
        <w:t>MOaP</w:t>
      </w:r>
      <w:proofErr w:type="spellEnd"/>
      <w:r w:rsidR="009D1C95">
        <w:rPr>
          <w:rFonts w:ascii="Times New Roman" w:hAnsi="Times New Roman"/>
          <w:sz w:val="24"/>
          <w:szCs w:val="24"/>
        </w:rPr>
        <w:t>/58073/16/OSŘP1/Kol za účelem zřízení vyhrazeného parkování na veřejné přístupové účelové komunikaci pro sp</w:t>
      </w:r>
      <w:r w:rsidR="009D1C95" w:rsidRPr="00B3775A">
        <w:rPr>
          <w:rFonts w:ascii="Times New Roman" w:hAnsi="Times New Roman"/>
          <w:sz w:val="24"/>
          <w:szCs w:val="24"/>
        </w:rPr>
        <w:t>olečnost</w:t>
      </w:r>
      <w:r w:rsidR="009D1C95">
        <w:rPr>
          <w:rFonts w:ascii="Times New Roman" w:hAnsi="Times New Roman"/>
          <w:sz w:val="24"/>
          <w:szCs w:val="24"/>
        </w:rPr>
        <w:t xml:space="preserve"> </w:t>
      </w:r>
      <w:r w:rsidR="009D1C95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9D1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9D1C95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&amp;</w:t>
      </w:r>
      <w:r w:rsidR="009D1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9D1C95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HOLDING a.s.,</w:t>
      </w:r>
      <w:r w:rsidR="009D1C95" w:rsidRPr="007746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D1C95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4. </w:t>
      </w:r>
      <w:r w:rsidR="009D1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</w:t>
      </w:r>
      <w:r w:rsidR="009D1C95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větna 288, 755 01 Vsetín, IČO 27825710</w:t>
      </w:r>
      <w:r w:rsidR="009D1C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4BEC99D6" w14:textId="311108CF" w:rsidR="009D1C95" w:rsidRDefault="009D1C95" w:rsidP="0077466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58BB25B" w14:textId="77777777" w:rsidR="000E6E28" w:rsidRDefault="000E6E28" w:rsidP="0077466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4E1B1AD" w14:textId="07FE3DE1" w:rsidR="00C97EE8" w:rsidRDefault="009D1C95" w:rsidP="0077466F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Následovala řada jednání mezi společností </w:t>
      </w:r>
      <w:r w:rsidR="000E6E28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0E6E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0E6E28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&amp;</w:t>
      </w:r>
      <w:r w:rsidR="000E6E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0E6E28" w:rsidRPr="002521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HOLDING a.s.</w:t>
      </w:r>
      <w:r w:rsidR="004C2F8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0E6E28" w:rsidRPr="0077466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odborem dopravy, </w:t>
      </w:r>
      <w:r w:rsidR="000E6E28">
        <w:rPr>
          <w:rFonts w:ascii="Times New Roman" w:hAnsi="Times New Roman"/>
          <w:sz w:val="24"/>
          <w:szCs w:val="24"/>
        </w:rPr>
        <w:t>načež b</w:t>
      </w:r>
      <w:r>
        <w:rPr>
          <w:rFonts w:ascii="Times New Roman" w:hAnsi="Times New Roman"/>
          <w:sz w:val="24"/>
          <w:szCs w:val="24"/>
        </w:rPr>
        <w:t xml:space="preserve">ylo rozhodnuto o vyhotovení nového geometrického plánu na rozdělení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</w:t>
      </w:r>
      <w:r>
        <w:rPr>
          <w:rFonts w:ascii="Times New Roman" w:hAnsi="Times New Roman"/>
          <w:sz w:val="24"/>
          <w:szCs w:val="24"/>
        </w:rPr>
        <w:lastRenderedPageBreak/>
        <w:t>3340/7 v 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Moravská Ostrava, obec Ostrava, </w:t>
      </w:r>
      <w:r w:rsidR="000E6E28">
        <w:rPr>
          <w:rFonts w:ascii="Times New Roman" w:hAnsi="Times New Roman"/>
          <w:sz w:val="24"/>
          <w:szCs w:val="24"/>
        </w:rPr>
        <w:t>tak aby</w:t>
      </w:r>
      <w:r>
        <w:rPr>
          <w:rFonts w:ascii="Times New Roman" w:hAnsi="Times New Roman"/>
          <w:sz w:val="24"/>
          <w:szCs w:val="24"/>
        </w:rPr>
        <w:t xml:space="preserve"> předmětná parkovací místa zůsta</w:t>
      </w:r>
      <w:r w:rsidR="000E6E28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pro</w:t>
      </w:r>
      <w:r w:rsidR="0034540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společnost zachována.</w:t>
      </w:r>
      <w:r w:rsidR="004C2F84">
        <w:rPr>
          <w:rFonts w:ascii="Times New Roman" w:hAnsi="Times New Roman"/>
          <w:sz w:val="24"/>
          <w:szCs w:val="24"/>
        </w:rPr>
        <w:t xml:space="preserve"> </w:t>
      </w:r>
    </w:p>
    <w:p w14:paraId="175833D3" w14:textId="77777777" w:rsidR="009D1C95" w:rsidRDefault="009D1C95" w:rsidP="0077466F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1610A" w14:textId="77777777" w:rsidR="0045326F" w:rsidRDefault="0045326F" w:rsidP="0045326F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textu kupních smluv oba prodávající odsouhlasili.</w:t>
      </w:r>
    </w:p>
    <w:p w14:paraId="1C71FC8B" w14:textId="3F988A40" w:rsidR="008E274B" w:rsidRDefault="008E274B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1B6CD5D" w14:textId="6DA41CEC" w:rsidR="002A0511" w:rsidRDefault="002A0511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D0ABED" w14:textId="77777777" w:rsidR="00C66F43" w:rsidRDefault="00C66F43" w:rsidP="00C66F43">
      <w:pPr>
        <w:pStyle w:val="mmoradkovani"/>
        <w:spacing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Projednáno v radě města</w:t>
      </w:r>
    </w:p>
    <w:p w14:paraId="5E09195D" w14:textId="77777777" w:rsidR="00C66F43" w:rsidRDefault="00C66F43" w:rsidP="00C66F43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Rada města na své schůzi dne 30. 11. 2021 souhlasila s návrhem koupit:</w:t>
      </w:r>
    </w:p>
    <w:p w14:paraId="457B36BC" w14:textId="522525B2" w:rsidR="00C66F43" w:rsidRPr="005C467F" w:rsidRDefault="00C66F43" w:rsidP="00C66F43">
      <w:pPr>
        <w:pStyle w:val="Zkladntext"/>
        <w:ind w:left="142" w:hanging="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část pozemku</w:t>
      </w:r>
      <w:r w:rsidRPr="005C467F"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eastAsia="en-US"/>
        </w:rPr>
        <w:t xml:space="preserve">dle bodu 1) návrhu </w:t>
      </w:r>
      <w:r w:rsidRPr="005C467F">
        <w:rPr>
          <w:rFonts w:eastAsiaTheme="minorHAnsi" w:cstheme="minorBidi"/>
          <w:lang w:eastAsia="en-US"/>
        </w:rPr>
        <w:t>usnesení</w:t>
      </w:r>
      <w:r>
        <w:rPr>
          <w:rFonts w:eastAsiaTheme="minorHAnsi" w:cstheme="minorBidi"/>
          <w:lang w:eastAsia="en-US"/>
        </w:rPr>
        <w:t xml:space="preserve"> </w:t>
      </w:r>
      <w:r w:rsidRPr="005C467F">
        <w:rPr>
          <w:rFonts w:eastAsiaTheme="minorHAnsi" w:cstheme="minorBidi"/>
          <w:lang w:eastAsia="en-US"/>
        </w:rPr>
        <w:t xml:space="preserve">a uzavřít kupní smlouvu dle přílohy č. 4 předloženého materiálu, </w:t>
      </w:r>
    </w:p>
    <w:p w14:paraId="22EFAEED" w14:textId="57428340" w:rsidR="00C66F43" w:rsidRPr="005C467F" w:rsidRDefault="00C66F43" w:rsidP="00C66F43">
      <w:pPr>
        <w:pStyle w:val="Zkladntext"/>
        <w:ind w:left="142" w:hanging="142"/>
        <w:rPr>
          <w:rFonts w:eastAsiaTheme="minorHAnsi" w:cstheme="minorBidi"/>
          <w:lang w:eastAsia="en-US"/>
        </w:rPr>
      </w:pPr>
      <w:r w:rsidRPr="005C467F">
        <w:rPr>
          <w:rFonts w:eastAsiaTheme="minorHAnsi" w:cstheme="minorBidi"/>
          <w:lang w:eastAsia="en-US"/>
        </w:rPr>
        <w:t xml:space="preserve">- </w:t>
      </w:r>
      <w:r>
        <w:rPr>
          <w:rFonts w:eastAsiaTheme="minorHAnsi" w:cstheme="minorBidi"/>
          <w:lang w:eastAsia="en-US"/>
        </w:rPr>
        <w:t>část pozemku dle bodu 2) návrhu</w:t>
      </w:r>
      <w:r w:rsidRPr="005C467F">
        <w:rPr>
          <w:rFonts w:eastAsiaTheme="minorHAnsi" w:cstheme="minorBidi"/>
          <w:lang w:eastAsia="en-US"/>
        </w:rPr>
        <w:t xml:space="preserve"> usnesení a uzavřít kupní smlouvu dle přílohy č. 5 předloženého materiálu.</w:t>
      </w:r>
    </w:p>
    <w:p w14:paraId="222CC7D7" w14:textId="77777777" w:rsidR="00C66F43" w:rsidRDefault="00C66F43" w:rsidP="00C66F43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</w:p>
    <w:p w14:paraId="6E607FDB" w14:textId="5256F10D" w:rsidR="00C66F43" w:rsidRDefault="00C66F43" w:rsidP="00C66F43">
      <w:pPr>
        <w:pStyle w:val="mmoradkovani"/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1A1E4412" w14:textId="77777777" w:rsidR="00C66F43" w:rsidRDefault="00C66F43" w:rsidP="00C66F43">
      <w:pPr>
        <w:jc w:val="both"/>
        <w:rPr>
          <w:bCs/>
          <w:i/>
          <w:u w:val="single"/>
        </w:rPr>
      </w:pPr>
      <w:r>
        <w:rPr>
          <w:bCs/>
          <w:i/>
          <w:u w:val="single"/>
        </w:rPr>
        <w:t>Upozornění</w:t>
      </w:r>
    </w:p>
    <w:p w14:paraId="162617EB" w14:textId="77777777" w:rsidR="00C66F43" w:rsidRDefault="00C66F43" w:rsidP="00C66F43">
      <w:pPr>
        <w:jc w:val="both"/>
        <w:rPr>
          <w:bCs/>
        </w:rPr>
      </w:pPr>
      <w:r>
        <w:rPr>
          <w:bCs/>
          <w:i/>
        </w:rPr>
        <w:t>Tento materiál obsahuje informace podléhající ochraně osobních údajů, které by neměly být zveřejňovány dle zák. č. 106/1999 Sb., o svobodném přístupu k informacím, ve znění pozdějších předpisů, jelikož jsou chráněny zák. č. č. 110/2019 Sb., o zpracování osobních údajů.</w:t>
      </w:r>
    </w:p>
    <w:p w14:paraId="4E7060BF" w14:textId="77777777" w:rsidR="00C66F43" w:rsidRDefault="00C66F43" w:rsidP="00C66F43">
      <w:pPr>
        <w:jc w:val="both"/>
        <w:rPr>
          <w:bCs/>
        </w:rPr>
      </w:pPr>
    </w:p>
    <w:p w14:paraId="483C5913" w14:textId="77777777" w:rsidR="00C66F43" w:rsidRDefault="00C66F43" w:rsidP="00C66F43">
      <w:pPr>
        <w:jc w:val="both"/>
        <w:rPr>
          <w:bCs/>
        </w:rPr>
      </w:pPr>
    </w:p>
    <w:p w14:paraId="4BF66E70" w14:textId="47F79D52" w:rsidR="00C66F43" w:rsidRDefault="00C66F43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15B3C71" w14:textId="242A72E0" w:rsidR="00C66F43" w:rsidRDefault="00C66F43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85BB38" w14:textId="246C0908" w:rsidR="00C66F43" w:rsidRDefault="00C66F43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A34425" w14:textId="157A2589" w:rsidR="00C66F43" w:rsidRDefault="00C66F43" w:rsidP="005B4E59">
      <w:pPr>
        <w:tabs>
          <w:tab w:val="left" w:pos="9072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2F29021" w14:textId="77777777" w:rsidR="008C2123" w:rsidRPr="005C467F" w:rsidRDefault="008C2123" w:rsidP="008E274B">
      <w:pPr>
        <w:pStyle w:val="Zkladntext"/>
        <w:ind w:left="142" w:hanging="142"/>
        <w:rPr>
          <w:rFonts w:eastAsiaTheme="minorHAnsi" w:cstheme="minorBidi"/>
          <w:lang w:eastAsia="en-US"/>
        </w:rPr>
      </w:pPr>
    </w:p>
    <w:p w14:paraId="2E8FFD55" w14:textId="77777777" w:rsidR="00F92E8D" w:rsidRPr="005C467F" w:rsidRDefault="00F92E8D" w:rsidP="005B4E59">
      <w:pPr>
        <w:pStyle w:val="Zkladntext"/>
        <w:rPr>
          <w:rFonts w:eastAsiaTheme="minorHAnsi" w:cstheme="minorBidi"/>
          <w:lang w:eastAsia="en-US"/>
        </w:rPr>
      </w:pPr>
    </w:p>
    <w:sectPr w:rsidR="00F92E8D" w:rsidRPr="005C46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8E54" w14:textId="77777777" w:rsidR="0039128E" w:rsidRDefault="0039128E" w:rsidP="00070A61">
      <w:pPr>
        <w:spacing w:after="0" w:line="240" w:lineRule="auto"/>
      </w:pPr>
      <w:r>
        <w:separator/>
      </w:r>
    </w:p>
  </w:endnote>
  <w:endnote w:type="continuationSeparator" w:id="0">
    <w:p w14:paraId="11EC0B66" w14:textId="77777777" w:rsidR="0039128E" w:rsidRDefault="0039128E" w:rsidP="0007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626678"/>
      <w:docPartObj>
        <w:docPartGallery w:val="Page Numbers (Bottom of Page)"/>
        <w:docPartUnique/>
      </w:docPartObj>
    </w:sdtPr>
    <w:sdtEndPr/>
    <w:sdtContent>
      <w:p w14:paraId="283875CB" w14:textId="77777777" w:rsidR="00070A61" w:rsidRDefault="00070A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7B">
          <w:rPr>
            <w:noProof/>
          </w:rPr>
          <w:t>2</w:t>
        </w:r>
        <w:r>
          <w:fldChar w:fldCharType="end"/>
        </w:r>
      </w:p>
    </w:sdtContent>
  </w:sdt>
  <w:p w14:paraId="190BBE45" w14:textId="77777777" w:rsidR="00070A61" w:rsidRDefault="00070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E286" w14:textId="77777777" w:rsidR="0039128E" w:rsidRDefault="0039128E" w:rsidP="00070A61">
      <w:pPr>
        <w:spacing w:after="0" w:line="240" w:lineRule="auto"/>
      </w:pPr>
      <w:r>
        <w:separator/>
      </w:r>
    </w:p>
  </w:footnote>
  <w:footnote w:type="continuationSeparator" w:id="0">
    <w:p w14:paraId="55634078" w14:textId="77777777" w:rsidR="0039128E" w:rsidRDefault="0039128E" w:rsidP="0007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25F"/>
    <w:multiLevelType w:val="hybridMultilevel"/>
    <w:tmpl w:val="BCAEEC48"/>
    <w:lvl w:ilvl="0" w:tplc="20BE5E4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AED"/>
    <w:multiLevelType w:val="hybridMultilevel"/>
    <w:tmpl w:val="8984F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5B0C"/>
    <w:multiLevelType w:val="hybridMultilevel"/>
    <w:tmpl w:val="706447F8"/>
    <w:lvl w:ilvl="0" w:tplc="A05C5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7C7"/>
    <w:multiLevelType w:val="hybridMultilevel"/>
    <w:tmpl w:val="954C088C"/>
    <w:lvl w:ilvl="0" w:tplc="A294B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6DD8"/>
    <w:multiLevelType w:val="hybridMultilevel"/>
    <w:tmpl w:val="89C6F2D2"/>
    <w:lvl w:ilvl="0" w:tplc="E7F66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</w:lvl>
  </w:abstractNum>
  <w:abstractNum w:abstractNumId="5" w15:restartNumberingAfterBreak="0">
    <w:nsid w:val="628E3E94"/>
    <w:multiLevelType w:val="hybridMultilevel"/>
    <w:tmpl w:val="4A1C8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E59"/>
    <w:rsid w:val="00062FCD"/>
    <w:rsid w:val="00070A61"/>
    <w:rsid w:val="000D5AB8"/>
    <w:rsid w:val="000E6E28"/>
    <w:rsid w:val="001408B9"/>
    <w:rsid w:val="0015320C"/>
    <w:rsid w:val="00191E39"/>
    <w:rsid w:val="001B2E22"/>
    <w:rsid w:val="001B61B9"/>
    <w:rsid w:val="001E7CFA"/>
    <w:rsid w:val="0022674B"/>
    <w:rsid w:val="00242657"/>
    <w:rsid w:val="0025212E"/>
    <w:rsid w:val="002A0511"/>
    <w:rsid w:val="0034540A"/>
    <w:rsid w:val="003519B4"/>
    <w:rsid w:val="0039128E"/>
    <w:rsid w:val="004311AC"/>
    <w:rsid w:val="0045326F"/>
    <w:rsid w:val="004557FD"/>
    <w:rsid w:val="00465065"/>
    <w:rsid w:val="00470895"/>
    <w:rsid w:val="00477DAE"/>
    <w:rsid w:val="004B7D18"/>
    <w:rsid w:val="004C2F84"/>
    <w:rsid w:val="004D57C4"/>
    <w:rsid w:val="004F7F13"/>
    <w:rsid w:val="00524712"/>
    <w:rsid w:val="00547E59"/>
    <w:rsid w:val="00562787"/>
    <w:rsid w:val="005B0528"/>
    <w:rsid w:val="005B4E59"/>
    <w:rsid w:val="005C467F"/>
    <w:rsid w:val="00646AAB"/>
    <w:rsid w:val="00665AAE"/>
    <w:rsid w:val="00683242"/>
    <w:rsid w:val="006A7C88"/>
    <w:rsid w:val="006B49F9"/>
    <w:rsid w:val="006F0EF2"/>
    <w:rsid w:val="00741DB4"/>
    <w:rsid w:val="007443EC"/>
    <w:rsid w:val="0077466F"/>
    <w:rsid w:val="007A26BC"/>
    <w:rsid w:val="008B2D64"/>
    <w:rsid w:val="008C2123"/>
    <w:rsid w:val="008E274B"/>
    <w:rsid w:val="008F564D"/>
    <w:rsid w:val="008F7934"/>
    <w:rsid w:val="00934A31"/>
    <w:rsid w:val="00982200"/>
    <w:rsid w:val="00987A70"/>
    <w:rsid w:val="00995021"/>
    <w:rsid w:val="009D1C95"/>
    <w:rsid w:val="00A715C5"/>
    <w:rsid w:val="00AA23DE"/>
    <w:rsid w:val="00AE337B"/>
    <w:rsid w:val="00B243E8"/>
    <w:rsid w:val="00B3775A"/>
    <w:rsid w:val="00B600AD"/>
    <w:rsid w:val="00B75CB8"/>
    <w:rsid w:val="00BA4CFB"/>
    <w:rsid w:val="00BC1C26"/>
    <w:rsid w:val="00BF7106"/>
    <w:rsid w:val="00C27021"/>
    <w:rsid w:val="00C66F43"/>
    <w:rsid w:val="00C777AF"/>
    <w:rsid w:val="00C97EE8"/>
    <w:rsid w:val="00CF7325"/>
    <w:rsid w:val="00D14717"/>
    <w:rsid w:val="00D65DC0"/>
    <w:rsid w:val="00DA3933"/>
    <w:rsid w:val="00DD3B26"/>
    <w:rsid w:val="00E05881"/>
    <w:rsid w:val="00E450C5"/>
    <w:rsid w:val="00F016AD"/>
    <w:rsid w:val="00F04C6A"/>
    <w:rsid w:val="00F32069"/>
    <w:rsid w:val="00F42C5B"/>
    <w:rsid w:val="00F65A20"/>
    <w:rsid w:val="00F92E8D"/>
    <w:rsid w:val="00F97E0E"/>
    <w:rsid w:val="00FC3292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2705"/>
  <w15:docId w15:val="{61928781-F1E6-4576-8444-8EC556A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511"/>
  </w:style>
  <w:style w:type="paragraph" w:styleId="Nadpis1">
    <w:name w:val="heading 1"/>
    <w:basedOn w:val="Normln"/>
    <w:next w:val="Normln"/>
    <w:link w:val="Nadpis1Char"/>
    <w:uiPriority w:val="9"/>
    <w:qFormat/>
    <w:rsid w:val="00E450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B4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B4E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moradkovani">
    <w:name w:val="_mmo_radkovani"/>
    <w:basedOn w:val="Normln"/>
    <w:rsid w:val="005B4E59"/>
    <w:pPr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mmozprava">
    <w:name w:val="_mmo_zprava"/>
    <w:next w:val="mmoradkovani"/>
    <w:rsid w:val="005B4E59"/>
    <w:pPr>
      <w:pageBreakBefore/>
      <w:spacing w:after="0" w:line="360" w:lineRule="auto"/>
      <w:ind w:right="142"/>
      <w:jc w:val="both"/>
    </w:pPr>
    <w:rPr>
      <w:rFonts w:ascii="Courier New" w:eastAsia="Times New Roman" w:hAnsi="Courier New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0A61"/>
  </w:style>
  <w:style w:type="paragraph" w:styleId="Zpat">
    <w:name w:val="footer"/>
    <w:basedOn w:val="Normln"/>
    <w:link w:val="ZpatChar"/>
    <w:uiPriority w:val="99"/>
    <w:unhideWhenUsed/>
    <w:rsid w:val="0007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0A61"/>
  </w:style>
  <w:style w:type="character" w:styleId="PromnnHTML">
    <w:name w:val="HTML Variable"/>
    <w:basedOn w:val="Standardnpsmoodstavce"/>
    <w:uiPriority w:val="99"/>
    <w:semiHidden/>
    <w:unhideWhenUsed/>
    <w:rsid w:val="004F7F1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450C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50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D57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7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7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7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Rehová Plačková Ivana</dc:creator>
  <cp:lastModifiedBy>Janečková Zdeňka</cp:lastModifiedBy>
  <cp:revision>34</cp:revision>
  <cp:lastPrinted>2021-11-30T09:57:00Z</cp:lastPrinted>
  <dcterms:created xsi:type="dcterms:W3CDTF">2019-12-03T07:39:00Z</dcterms:created>
  <dcterms:modified xsi:type="dcterms:W3CDTF">2021-11-30T10:05:00Z</dcterms:modified>
</cp:coreProperties>
</file>