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3B898" w14:textId="5C22E3DE" w:rsidR="005C3907" w:rsidRPr="006F65F2" w:rsidRDefault="005C3907" w:rsidP="005C3907">
      <w:pPr>
        <w:rPr>
          <w:b/>
          <w:bCs/>
          <w:u w:val="single"/>
        </w:rPr>
      </w:pPr>
      <w:r w:rsidRPr="006F65F2">
        <w:rPr>
          <w:b/>
          <w:bCs/>
          <w:u w:val="single"/>
        </w:rPr>
        <w:t>Důvodová zpráva:</w:t>
      </w:r>
    </w:p>
    <w:p w14:paraId="259D60C8" w14:textId="4A207C15" w:rsidR="005C3907" w:rsidRDefault="005C3907" w:rsidP="007D32F7">
      <w:pPr>
        <w:spacing w:after="0"/>
        <w:rPr>
          <w:b/>
          <w:bCs/>
        </w:rPr>
      </w:pPr>
      <w:r w:rsidRPr="006F65F2">
        <w:rPr>
          <w:b/>
          <w:bCs/>
        </w:rPr>
        <w:t xml:space="preserve">Pozemky: </w:t>
      </w:r>
    </w:p>
    <w:p w14:paraId="5B450EB0" w14:textId="77777777" w:rsidR="007D32F7" w:rsidRDefault="007D32F7" w:rsidP="007D32F7">
      <w:pPr>
        <w:spacing w:after="0"/>
        <w:rPr>
          <w:b/>
          <w:bCs/>
        </w:rPr>
      </w:pPr>
    </w:p>
    <w:p w14:paraId="7C3611AA" w14:textId="77777777" w:rsidR="00372953" w:rsidRPr="004071D4" w:rsidRDefault="00372953" w:rsidP="007D32F7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4071D4">
        <w:t>pozemek parc.č. 276/1, ost. plocha, jiná plocha o výměře 2 045 m</w:t>
      </w:r>
      <w:r w:rsidRPr="004071D4">
        <w:rPr>
          <w:vertAlign w:val="superscript"/>
        </w:rPr>
        <w:t>2</w:t>
      </w:r>
      <w:r w:rsidRPr="004071D4">
        <w:t>,</w:t>
      </w:r>
    </w:p>
    <w:p w14:paraId="4150AC5B" w14:textId="77777777" w:rsidR="00372953" w:rsidRPr="004071D4" w:rsidRDefault="00372953" w:rsidP="007D32F7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4071D4">
        <w:t>pozemek parc.č. 276/2, ost. plocha, jiná plocha o výměře 3 187 m</w:t>
      </w:r>
      <w:r w:rsidRPr="004071D4">
        <w:rPr>
          <w:vertAlign w:val="superscript"/>
        </w:rPr>
        <w:t>2</w:t>
      </w:r>
      <w:r w:rsidRPr="004071D4">
        <w:t>,</w:t>
      </w:r>
    </w:p>
    <w:p w14:paraId="4EF0F3CD" w14:textId="77777777" w:rsidR="00372953" w:rsidRPr="004071D4" w:rsidRDefault="00372953" w:rsidP="007D32F7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4071D4">
        <w:t>pozemek parc.č. 276/8, ost. plocha, jiná plocha o výměře 281 m</w:t>
      </w:r>
      <w:r w:rsidRPr="004071D4">
        <w:rPr>
          <w:vertAlign w:val="superscript"/>
        </w:rPr>
        <w:t>2</w:t>
      </w:r>
      <w:r w:rsidRPr="004071D4">
        <w:t>,</w:t>
      </w:r>
    </w:p>
    <w:p w14:paraId="0CC5EA06" w14:textId="77777777" w:rsidR="00372953" w:rsidRPr="004071D4" w:rsidRDefault="00372953" w:rsidP="007D32F7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4071D4">
        <w:t>pozemek parc.č. 276/9, ost. plocha, jiná plocha o výměře 49 m</w:t>
      </w:r>
      <w:r w:rsidRPr="004071D4">
        <w:rPr>
          <w:vertAlign w:val="superscript"/>
        </w:rPr>
        <w:t>2</w:t>
      </w:r>
      <w:r w:rsidRPr="004071D4">
        <w:t>,</w:t>
      </w:r>
    </w:p>
    <w:p w14:paraId="1FAFA6E6" w14:textId="77777777" w:rsidR="00372953" w:rsidRPr="004071D4" w:rsidRDefault="00372953" w:rsidP="007D32F7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4071D4">
        <w:t>pozemek parc.č. 3457/10, ost. plocha, neplodná půda o výměře 2 607 m</w:t>
      </w:r>
      <w:r w:rsidRPr="004071D4">
        <w:rPr>
          <w:vertAlign w:val="superscript"/>
        </w:rPr>
        <w:t>2</w:t>
      </w:r>
      <w:r w:rsidRPr="004071D4">
        <w:t>,</w:t>
      </w:r>
    </w:p>
    <w:p w14:paraId="30A27A4E" w14:textId="77777777" w:rsidR="00372953" w:rsidRPr="004071D4" w:rsidRDefault="00372953" w:rsidP="007D32F7">
      <w:pPr>
        <w:numPr>
          <w:ilvl w:val="0"/>
          <w:numId w:val="4"/>
        </w:numPr>
        <w:spacing w:after="0" w:line="240" w:lineRule="auto"/>
        <w:ind w:left="284" w:hanging="284"/>
        <w:jc w:val="both"/>
      </w:pPr>
      <w:r w:rsidRPr="004071D4">
        <w:t>pozemek parc.č. 3457/41, ost. plocha, neplodná půda o výměře 120 m</w:t>
      </w:r>
      <w:r w:rsidRPr="004071D4">
        <w:rPr>
          <w:vertAlign w:val="superscript"/>
        </w:rPr>
        <w:t>2</w:t>
      </w:r>
      <w:r w:rsidRPr="004071D4">
        <w:t>,</w:t>
      </w:r>
    </w:p>
    <w:p w14:paraId="643AD761" w14:textId="035166B5" w:rsidR="00372953" w:rsidRDefault="00372953" w:rsidP="007D32F7">
      <w:pPr>
        <w:spacing w:after="0" w:line="240" w:lineRule="auto"/>
        <w:jc w:val="both"/>
      </w:pPr>
      <w:r w:rsidRPr="004071D4">
        <w:t>vše v k.ú. Moravská Ostrava, obec Ostrava.</w:t>
      </w:r>
    </w:p>
    <w:p w14:paraId="64DDEF64" w14:textId="77777777" w:rsidR="007D32F7" w:rsidRPr="004071D4" w:rsidRDefault="007D32F7" w:rsidP="007D32F7">
      <w:pPr>
        <w:spacing w:after="0" w:line="240" w:lineRule="auto"/>
        <w:jc w:val="both"/>
      </w:pPr>
    </w:p>
    <w:p w14:paraId="4065844C" w14:textId="77777777" w:rsidR="00372953" w:rsidRPr="004071D4" w:rsidRDefault="00372953" w:rsidP="007D32F7">
      <w:pPr>
        <w:spacing w:after="0" w:line="240" w:lineRule="auto"/>
        <w:jc w:val="both"/>
      </w:pPr>
      <w:r w:rsidRPr="004071D4">
        <w:t>Pozemky mají celkovou výměru 8 289 m</w:t>
      </w:r>
      <w:r w:rsidRPr="004071D4">
        <w:rPr>
          <w:vertAlign w:val="superscript"/>
        </w:rPr>
        <w:t>2</w:t>
      </w:r>
      <w:r w:rsidRPr="004071D4">
        <w:t xml:space="preserve"> a nejsou svěřeny městskému obvodu.</w:t>
      </w:r>
    </w:p>
    <w:p w14:paraId="00D8F13B" w14:textId="77777777" w:rsidR="00372953" w:rsidRDefault="00372953" w:rsidP="005C3907">
      <w:pPr>
        <w:rPr>
          <w:b/>
          <w:bCs/>
        </w:rPr>
      </w:pPr>
    </w:p>
    <w:p w14:paraId="2CEBA814" w14:textId="4D318C1C" w:rsidR="005C3907" w:rsidRPr="006F65F2" w:rsidRDefault="005C3907" w:rsidP="005C3907">
      <w:pPr>
        <w:rPr>
          <w:b/>
          <w:bCs/>
        </w:rPr>
      </w:pPr>
      <w:r w:rsidRPr="006F65F2">
        <w:rPr>
          <w:b/>
          <w:bCs/>
        </w:rPr>
        <w:t>Žadatel:</w:t>
      </w:r>
    </w:p>
    <w:p w14:paraId="679BCF32" w14:textId="38BD0244" w:rsidR="005C3907" w:rsidRDefault="00372953" w:rsidP="005A716A">
      <w:pPr>
        <w:jc w:val="both"/>
      </w:pPr>
      <w:r>
        <w:rPr>
          <w:rFonts w:ascii="Verdana" w:hAnsi="Verdana"/>
          <w:color w:val="000000"/>
          <w:sz w:val="16"/>
          <w:szCs w:val="16"/>
        </w:rPr>
        <w:t xml:space="preserve">RT TORAX, s.r.o., se sídlem Rudná 2378/100, Zábřeh, 700 30 Ostrava, IČO 603 19 305 </w:t>
      </w:r>
      <w:r w:rsidR="005C3907">
        <w:t xml:space="preserve"> (dále </w:t>
      </w:r>
      <w:r w:rsidR="002C2AC7">
        <w:t xml:space="preserve">také </w:t>
      </w:r>
      <w:r w:rsidR="000145BF">
        <w:t>s</w:t>
      </w:r>
      <w:r w:rsidR="002C2AC7">
        <w:t>polečnost</w:t>
      </w:r>
      <w:r w:rsidR="005C3907">
        <w:t>)</w:t>
      </w:r>
    </w:p>
    <w:p w14:paraId="5F689963" w14:textId="77777777" w:rsidR="005C3907" w:rsidRPr="006C0C1C" w:rsidRDefault="005C3907" w:rsidP="005C3907">
      <w:pPr>
        <w:rPr>
          <w:b/>
          <w:bCs/>
        </w:rPr>
      </w:pPr>
      <w:r w:rsidRPr="006C0C1C">
        <w:rPr>
          <w:b/>
          <w:bCs/>
        </w:rPr>
        <w:t>Smlouva:</w:t>
      </w:r>
    </w:p>
    <w:p w14:paraId="4AD15E34" w14:textId="2E87E70B" w:rsidR="005C3907" w:rsidRPr="005A716A" w:rsidRDefault="008637A1" w:rsidP="003A3879">
      <w:pPr>
        <w:jc w:val="both"/>
        <w:rPr>
          <w:rFonts w:cstheme="minorHAnsi"/>
        </w:rPr>
      </w:pPr>
      <w:r w:rsidRPr="005A716A">
        <w:rPr>
          <w:rFonts w:cstheme="minorHAnsi"/>
        </w:rPr>
        <w:t>Kupní smlouva s předkupním právem a zákazem zcizení</w:t>
      </w:r>
      <w:r w:rsidR="005C3907" w:rsidRPr="005A716A">
        <w:rPr>
          <w:rFonts w:cstheme="minorHAnsi"/>
        </w:rPr>
        <w:t xml:space="preserve"> uzavřená mezi městem a společností </w:t>
      </w:r>
      <w:r w:rsidRPr="005A716A">
        <w:rPr>
          <w:rFonts w:cstheme="minorHAnsi"/>
        </w:rPr>
        <w:t>RT TORAX</w:t>
      </w:r>
      <w:r w:rsidR="005C3907" w:rsidRPr="005A716A">
        <w:rPr>
          <w:rFonts w:cstheme="minorHAnsi"/>
        </w:rPr>
        <w:t xml:space="preserve"> ze dne</w:t>
      </w:r>
      <w:r w:rsidR="005A716A" w:rsidRPr="005A716A">
        <w:rPr>
          <w:rFonts w:cstheme="minorHAnsi"/>
        </w:rPr>
        <w:t xml:space="preserve"> 9. 12. 2020</w:t>
      </w:r>
      <w:r w:rsidR="005C3907" w:rsidRPr="005A716A">
        <w:rPr>
          <w:rFonts w:cstheme="minorHAnsi"/>
        </w:rPr>
        <w:t xml:space="preserve"> </w:t>
      </w:r>
      <w:r w:rsidR="005C3907" w:rsidRPr="00160CF8">
        <w:rPr>
          <w:rFonts w:cstheme="minorHAnsi"/>
        </w:rPr>
        <w:t>ev. č.</w:t>
      </w:r>
      <w:r w:rsidR="005A716A" w:rsidRPr="00160CF8">
        <w:rPr>
          <w:rFonts w:cstheme="minorHAnsi"/>
          <w:color w:val="000000"/>
        </w:rPr>
        <w:t xml:space="preserve"> 3037/2020/MJ</w:t>
      </w:r>
      <w:r w:rsidR="005A716A" w:rsidRPr="005A716A">
        <w:rPr>
          <w:rFonts w:cstheme="minorHAnsi"/>
          <w:color w:val="000000"/>
          <w:sz w:val="16"/>
          <w:szCs w:val="16"/>
        </w:rPr>
        <w:t xml:space="preserve">, </w:t>
      </w:r>
      <w:r w:rsidRPr="005A716A">
        <w:rPr>
          <w:rFonts w:cstheme="minorHAnsi"/>
        </w:rPr>
        <w:t>dále jen Kupní smlouva)</w:t>
      </w:r>
      <w:r w:rsidR="00862DD6" w:rsidRPr="005A716A">
        <w:rPr>
          <w:rFonts w:cstheme="minorHAnsi"/>
        </w:rPr>
        <w:t>; Kupní smlouva tvoří přílohu č. 1</w:t>
      </w:r>
      <w:r w:rsidR="003A3879" w:rsidRPr="005A716A">
        <w:rPr>
          <w:rFonts w:cstheme="minorHAnsi"/>
        </w:rPr>
        <w:t xml:space="preserve"> a 2</w:t>
      </w:r>
      <w:r w:rsidR="00862DD6" w:rsidRPr="005A716A">
        <w:rPr>
          <w:rFonts w:cstheme="minorHAnsi"/>
        </w:rPr>
        <w:t xml:space="preserve"> tohoto materiálu</w:t>
      </w:r>
    </w:p>
    <w:p w14:paraId="5D17D8AA" w14:textId="77777777" w:rsidR="005C3907" w:rsidRDefault="005C3907" w:rsidP="005C3907">
      <w:pPr>
        <w:rPr>
          <w:b/>
          <w:bCs/>
        </w:rPr>
      </w:pPr>
    </w:p>
    <w:p w14:paraId="76DFE18C" w14:textId="77777777" w:rsidR="005C3907" w:rsidRPr="006F65F2" w:rsidRDefault="005C3907" w:rsidP="005C3907">
      <w:pPr>
        <w:rPr>
          <w:b/>
          <w:bCs/>
        </w:rPr>
      </w:pPr>
      <w:r w:rsidRPr="006F65F2">
        <w:rPr>
          <w:b/>
          <w:bCs/>
        </w:rPr>
        <w:t>Dosavadní vývoj:</w:t>
      </w:r>
    </w:p>
    <w:p w14:paraId="437B37CF" w14:textId="70717941" w:rsidR="00F87B26" w:rsidRDefault="00A572B8" w:rsidP="008637A1">
      <w:pPr>
        <w:jc w:val="both"/>
      </w:pPr>
      <w:r>
        <w:t xml:space="preserve">V květnu roku 2019 byl zastupitelstvem města schválen záměr prodeje pozemků v lokalitě Slza spolu s výzvou k podání nabídek do 30.9.2019. Následně byla se společností RT TORAX zahájena a dále vedena jednání o smluvních podmínkách. </w:t>
      </w:r>
      <w:r w:rsidR="008637A1">
        <w:t>V prosinci roku 2020 byla mezi městem a společností RT TORAX uzavřena Kupní smlouva, dle které se společnost zavázala realizovat ve sjednaných termínech výstavbu objektu na předmětných pozemcích</w:t>
      </w:r>
      <w:r w:rsidR="002C2AC7">
        <w:t>. S</w:t>
      </w:r>
      <w:r w:rsidR="008637A1">
        <w:t>polečnost se</w:t>
      </w:r>
      <w:r w:rsidR="002C2AC7">
        <w:t xml:space="preserve"> také</w:t>
      </w:r>
      <w:r w:rsidR="008637A1">
        <w:t xml:space="preserve"> zavázala respektovat základní parametry urbanisticko-architektonického návrhu zástavby pozemků dle nabídky na koupi pozemků</w:t>
      </w:r>
      <w:r w:rsidR="002C2AC7">
        <w:t xml:space="preserve"> (</w:t>
      </w:r>
      <w:r w:rsidR="008637A1">
        <w:t>nabídka</w:t>
      </w:r>
      <w:r w:rsidR="002C2AC7">
        <w:t xml:space="preserve"> společnosti</w:t>
      </w:r>
      <w:r w:rsidR="008637A1">
        <w:t xml:space="preserve"> byla v souladu se Základními regulačními podmínkami útvaru hlavního architekta a stavebního řádu Magistrátu města Ostravy z února 2019 (dále Regulační podmínky</w:t>
      </w:r>
      <w:r w:rsidR="002C2AC7">
        <w:t>))</w:t>
      </w:r>
      <w:r w:rsidR="008637A1">
        <w:t>.</w:t>
      </w:r>
    </w:p>
    <w:p w14:paraId="0AD157DF" w14:textId="05AE2E53" w:rsidR="008637A1" w:rsidRDefault="008637A1" w:rsidP="008637A1">
      <w:pPr>
        <w:jc w:val="both"/>
      </w:pPr>
      <w:r>
        <w:t xml:space="preserve">Svou nabídku na koupi pozemků </w:t>
      </w:r>
      <w:r w:rsidR="00B91373">
        <w:t xml:space="preserve">společnost podala </w:t>
      </w:r>
      <w:r>
        <w:t>na základě oznámení města o záměru prodeje pozemků, jehož součástí bylo také uvedeno, že součástí kupní smlouvy bude ujednání, že plánovaná stavba bude v souladu s Regulačními podmínkami.</w:t>
      </w:r>
    </w:p>
    <w:p w14:paraId="0633E924" w14:textId="76122EDE" w:rsidR="00B91373" w:rsidRDefault="009E05E6" w:rsidP="008637A1">
      <w:pPr>
        <w:jc w:val="both"/>
      </w:pPr>
      <w:r>
        <w:t xml:space="preserve">Dle Kupní smlouvy společnost RT TORAX v průběhu 6 měsíců od uzavření Kupní smlouvy provedla právní a technickou </w:t>
      </w:r>
      <w:bookmarkStart w:id="0" w:name="_Hlk81480435"/>
      <w:r>
        <w:t xml:space="preserve">due diligence </w:t>
      </w:r>
      <w:bookmarkEnd w:id="0"/>
      <w:r>
        <w:t xml:space="preserve">a dopisem doručeným dne </w:t>
      </w:r>
      <w:r w:rsidR="0095525A">
        <w:t xml:space="preserve">15.6.2021 </w:t>
      </w:r>
      <w:r>
        <w:t xml:space="preserve">oznámila zjištění </w:t>
      </w:r>
      <w:r w:rsidR="000B40A6">
        <w:t>a s tím související návrhy řešení, včetně dalších návrhů na úpravu Kupní smlouvy</w:t>
      </w:r>
      <w:r>
        <w:t xml:space="preserve">. Dle Kupní smlouvy platí, že případná negativní zjištění učiněná v průběhu prověrky smluví strany na žádost společnosti projednají do 3 měsíců (tj. do </w:t>
      </w:r>
      <w:r w:rsidR="0095525A">
        <w:t xml:space="preserve">15.9.2021) </w:t>
      </w:r>
      <w:r>
        <w:t>ode dne doručení oznámení a uzavřou mezi sebou dohodu o způsobu jejich vyřešení. Pro případ, že nedojde k uzavření finální dohody, je kterákoliv ze smluvních stran oprávněna od Kupní smlouvy odstoupit, a to do 1 měsíce po uplynutí uvedené lhůty 3 měsíců</w:t>
      </w:r>
      <w:r w:rsidR="0095525A">
        <w:t>.</w:t>
      </w:r>
    </w:p>
    <w:p w14:paraId="25DAE1B2" w14:textId="37EC84C5" w:rsidR="00746C0A" w:rsidRDefault="000B40A6" w:rsidP="008637A1">
      <w:pPr>
        <w:jc w:val="both"/>
      </w:pPr>
      <w:r>
        <w:t xml:space="preserve">V uvedené záležitosti probíhají mezi zástupci města a zástupci Společnosti </w:t>
      </w:r>
      <w:r w:rsidR="005C0789">
        <w:t xml:space="preserve">intenzivní </w:t>
      </w:r>
      <w:r>
        <w:t>písemná i osobní jednání za účelem dosažení dohody na znění dodatku č. 1 ke Kupní smlouvě</w:t>
      </w:r>
      <w:r w:rsidR="00C3469A">
        <w:t xml:space="preserve">. </w:t>
      </w:r>
      <w:r w:rsidR="002C2AC7">
        <w:t xml:space="preserve">Lze shrnout, že prvotní </w:t>
      </w:r>
      <w:r w:rsidR="002C2AC7">
        <w:lastRenderedPageBreak/>
        <w:t>n</w:t>
      </w:r>
      <w:r w:rsidR="00C3469A">
        <w:t xml:space="preserve">ávrhy </w:t>
      </w:r>
      <w:r w:rsidR="002C2AC7">
        <w:t>s</w:t>
      </w:r>
      <w:r w:rsidR="00C3469A">
        <w:t xml:space="preserve">polečnosti </w:t>
      </w:r>
      <w:r w:rsidR="002C2AC7">
        <w:t>nebylo možné</w:t>
      </w:r>
      <w:r w:rsidR="00C3469A">
        <w:t xml:space="preserve"> považovat za akceptovatelné v plném rozsahu, proto se jednání vedou i nadále s cílem předložit návrh dodatku </w:t>
      </w:r>
      <w:r w:rsidR="002C2AC7">
        <w:t>orgánům města v první polovině října</w:t>
      </w:r>
      <w:r w:rsidR="00C3469A">
        <w:t>.</w:t>
      </w:r>
    </w:p>
    <w:p w14:paraId="5EA721E3" w14:textId="0B22B606" w:rsidR="00C3469A" w:rsidRDefault="00C3469A" w:rsidP="008637A1">
      <w:pPr>
        <w:jc w:val="both"/>
      </w:pPr>
    </w:p>
    <w:p w14:paraId="30D228EE" w14:textId="4DADCBE3" w:rsidR="00746C0A" w:rsidRDefault="009D74E9" w:rsidP="008637A1">
      <w:pPr>
        <w:jc w:val="both"/>
        <w:rPr>
          <w:b/>
          <w:bCs/>
        </w:rPr>
      </w:pPr>
      <w:r>
        <w:rPr>
          <w:b/>
          <w:bCs/>
        </w:rPr>
        <w:t>I</w:t>
      </w:r>
      <w:r w:rsidRPr="00746C0A">
        <w:rPr>
          <w:b/>
          <w:bCs/>
        </w:rPr>
        <w:t xml:space="preserve">nformace k současnému stavu projednání </w:t>
      </w:r>
      <w:r>
        <w:rPr>
          <w:b/>
          <w:bCs/>
        </w:rPr>
        <w:t>jednotlivých z</w:t>
      </w:r>
      <w:r w:rsidR="00746C0A" w:rsidRPr="00746C0A">
        <w:rPr>
          <w:b/>
          <w:bCs/>
        </w:rPr>
        <w:t>ávěr</w:t>
      </w:r>
      <w:r>
        <w:rPr>
          <w:b/>
          <w:bCs/>
        </w:rPr>
        <w:t>ů</w:t>
      </w:r>
      <w:r w:rsidR="00746C0A" w:rsidRPr="00746C0A">
        <w:rPr>
          <w:b/>
          <w:bCs/>
        </w:rPr>
        <w:t xml:space="preserve"> z technické a právní prověrky pozemků </w:t>
      </w:r>
      <w:r>
        <w:rPr>
          <w:b/>
          <w:bCs/>
        </w:rPr>
        <w:t xml:space="preserve">a </w:t>
      </w:r>
      <w:r w:rsidR="00746C0A" w:rsidRPr="00746C0A">
        <w:rPr>
          <w:b/>
          <w:bCs/>
        </w:rPr>
        <w:t>další</w:t>
      </w:r>
      <w:r>
        <w:rPr>
          <w:b/>
          <w:bCs/>
        </w:rPr>
        <w:t>ch</w:t>
      </w:r>
      <w:r w:rsidR="00746C0A" w:rsidRPr="00746C0A">
        <w:rPr>
          <w:b/>
          <w:bCs/>
        </w:rPr>
        <w:t xml:space="preserve"> bod</w:t>
      </w:r>
      <w:r>
        <w:rPr>
          <w:b/>
          <w:bCs/>
        </w:rPr>
        <w:t>ů</w:t>
      </w:r>
      <w:r w:rsidR="00746C0A" w:rsidRPr="00746C0A">
        <w:rPr>
          <w:b/>
          <w:bCs/>
        </w:rPr>
        <w:t xml:space="preserve"> vznesen</w:t>
      </w:r>
      <w:r>
        <w:rPr>
          <w:b/>
          <w:bCs/>
        </w:rPr>
        <w:t>ých</w:t>
      </w:r>
      <w:r w:rsidR="00746C0A" w:rsidRPr="00746C0A">
        <w:rPr>
          <w:b/>
          <w:bCs/>
        </w:rPr>
        <w:t xml:space="preserve"> ze strany společnosti RT TORAX s požadavkem na jejich projednání a uzavření dohody mezi stranami</w:t>
      </w:r>
    </w:p>
    <w:p w14:paraId="1F7396CA" w14:textId="07DAE921" w:rsidR="00C3469A" w:rsidRDefault="00C3469A" w:rsidP="008637A1">
      <w:pPr>
        <w:jc w:val="both"/>
      </w:pPr>
      <w:r>
        <w:t xml:space="preserve">Níže jsou shrnuty zásadní body návrhu </w:t>
      </w:r>
      <w:r w:rsidR="002C2AC7">
        <w:t>s</w:t>
      </w:r>
      <w:r>
        <w:t>polečnosti, ve kterých zatím nedošlo k</w:t>
      </w:r>
      <w:r w:rsidR="002C2AC7">
        <w:t xml:space="preserve"> takové </w:t>
      </w:r>
      <w:r>
        <w:t>dohodě, která by mohla být s relevantními argumenty předložena orgánům města k</w:t>
      </w:r>
      <w:r w:rsidR="0095525A">
        <w:t> </w:t>
      </w:r>
      <w:r>
        <w:t>rozhodnutí</w:t>
      </w:r>
      <w:r w:rsidR="0095525A">
        <w:t xml:space="preserve"> (bod 1 – 4 níže)</w:t>
      </w:r>
      <w:r>
        <w:t>.</w:t>
      </w:r>
    </w:p>
    <w:p w14:paraId="0311C7CA" w14:textId="77777777" w:rsidR="002C2AC7" w:rsidRPr="00C3469A" w:rsidRDefault="002C2AC7" w:rsidP="008637A1">
      <w:pPr>
        <w:jc w:val="both"/>
      </w:pPr>
    </w:p>
    <w:p w14:paraId="75ECF289" w14:textId="75F6CE82" w:rsidR="000B40A6" w:rsidRDefault="000B40A6" w:rsidP="009D74E9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Výskyt kontaminované zeminy s nutností jejího uložení na vhodnou skládku </w:t>
      </w:r>
      <w:r w:rsidR="002C2AC7">
        <w:rPr>
          <w:b/>
          <w:bCs/>
        </w:rPr>
        <w:t>ostatního odpadu</w:t>
      </w:r>
    </w:p>
    <w:p w14:paraId="637D6187" w14:textId="6B0BF4A6" w:rsidR="00C3469A" w:rsidRPr="00C3469A" w:rsidRDefault="000B40A6" w:rsidP="000B40A6">
      <w:pPr>
        <w:jc w:val="both"/>
      </w:pPr>
      <w:r w:rsidRPr="00C3469A">
        <w:t xml:space="preserve">Společnost na základě provedených vrtů identifikovala </w:t>
      </w:r>
      <w:r w:rsidR="00C3469A" w:rsidRPr="00C3469A">
        <w:t xml:space="preserve">v pozemcích výskyt zeminy, která musí být uložena na vhodnou skládku. Společnost navrhuje spolupodílení se města na </w:t>
      </w:r>
      <w:r w:rsidR="009D74E9" w:rsidRPr="00C3469A">
        <w:t>náklad</w:t>
      </w:r>
      <w:r w:rsidR="00C3469A" w:rsidRPr="00C3469A">
        <w:t>ech</w:t>
      </w:r>
      <w:r w:rsidR="009D74E9" w:rsidRPr="00C3469A">
        <w:t xml:space="preserve"> </w:t>
      </w:r>
      <w:r w:rsidR="007A4792" w:rsidRPr="00C3469A">
        <w:t xml:space="preserve">spojených s odvozem a uložením kontaminovaných zemin </w:t>
      </w:r>
      <w:r w:rsidR="009D74E9" w:rsidRPr="00C3469A">
        <w:t>ve výši 70%</w:t>
      </w:r>
      <w:r w:rsidR="00C3469A" w:rsidRPr="00C3469A">
        <w:t>.</w:t>
      </w:r>
    </w:p>
    <w:p w14:paraId="24310958" w14:textId="26B91232" w:rsidR="009D74E9" w:rsidRPr="00A572B8" w:rsidRDefault="009D74E9" w:rsidP="009D74E9">
      <w:pPr>
        <w:spacing w:after="200" w:line="276" w:lineRule="auto"/>
        <w:jc w:val="both"/>
      </w:pPr>
      <w:r>
        <w:t xml:space="preserve">K uvedené záležitosti </w:t>
      </w:r>
      <w:r w:rsidR="00C3469A">
        <w:t>je třeba uvést, že z</w:t>
      </w:r>
      <w:r>
        <w:t>ávěrečná zpráva z průzkumu kontaminace</w:t>
      </w:r>
      <w:r w:rsidR="00C3469A">
        <w:t xml:space="preserve"> potvrzuje</w:t>
      </w:r>
      <w:r>
        <w:t>,</w:t>
      </w:r>
      <w:r w:rsidR="00C3469A">
        <w:t xml:space="preserve"> že</w:t>
      </w:r>
      <w:r>
        <w:t xml:space="preserve"> sanační limity stanovené rozhodnutím ČIŽP, na základě kterého proběhla v minulosti na území sanace staré ekologické zátěže, nejsou překročeny. Situace, kdy přebytečná výkopová zemina je ostatním odpadem a musí být uložena na skládku, je v podmínkách Ostravska běžná. </w:t>
      </w:r>
      <w:r w:rsidRPr="00293AD8">
        <w:t xml:space="preserve">Navíc průzkumem nebylo prokázáno, že by přebytečná výkopová zemina naplnila definici nebezpečného odpadu. </w:t>
      </w:r>
      <w:r w:rsidR="00C3469A" w:rsidRPr="00A572B8">
        <w:t>Záležitost je v</w:t>
      </w:r>
      <w:r w:rsidR="00A572B8" w:rsidRPr="00A572B8">
        <w:t> </w:t>
      </w:r>
      <w:r w:rsidR="00C3469A" w:rsidRPr="00A572B8">
        <w:t>projednání</w:t>
      </w:r>
      <w:r w:rsidR="00A572B8" w:rsidRPr="00A572B8">
        <w:t>.</w:t>
      </w:r>
    </w:p>
    <w:p w14:paraId="4FC3AC24" w14:textId="145170A1" w:rsidR="00C3469A" w:rsidRDefault="00C3469A" w:rsidP="007A4792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Zjištění výskytu pažících konstrukcí v pozemcích</w:t>
      </w:r>
    </w:p>
    <w:p w14:paraId="5B5A8EF9" w14:textId="140274F4" w:rsidR="009D74E9" w:rsidRPr="00F62198" w:rsidRDefault="00C3469A" w:rsidP="00C3469A">
      <w:pPr>
        <w:jc w:val="both"/>
      </w:pPr>
      <w:r w:rsidRPr="00F62198">
        <w:t xml:space="preserve">Společnost </w:t>
      </w:r>
      <w:r w:rsidR="00A119A8">
        <w:t xml:space="preserve">v rámci prověrky </w:t>
      </w:r>
      <w:r w:rsidRPr="00F62198">
        <w:t xml:space="preserve">identifikovala, že v pozemcích byly po provedení dekontaminace ponechány pažící konstrukce – milánská stěna podél Frýdlantských mostů a štětová stěna </w:t>
      </w:r>
      <w:r w:rsidR="00F62198" w:rsidRPr="00F62198">
        <w:t xml:space="preserve">napříč území. Společnost vznesla prvotní návrh, že </w:t>
      </w:r>
      <w:r w:rsidR="007A4792" w:rsidRPr="00F62198">
        <w:t>účelně vynaložen</w:t>
      </w:r>
      <w:r w:rsidR="00F62198" w:rsidRPr="00F62198">
        <w:t>é</w:t>
      </w:r>
      <w:r w:rsidR="007A4792" w:rsidRPr="00F62198">
        <w:t xml:space="preserve"> náklad</w:t>
      </w:r>
      <w:r w:rsidR="00F62198" w:rsidRPr="00F62198">
        <w:t>y</w:t>
      </w:r>
      <w:r w:rsidR="007A4792" w:rsidRPr="00F62198">
        <w:t xml:space="preserve"> spoje</w:t>
      </w:r>
      <w:r w:rsidR="00A119A8">
        <w:t>né</w:t>
      </w:r>
      <w:r w:rsidR="007A4792" w:rsidRPr="00F62198">
        <w:t xml:space="preserve"> s odstraněním, odvozem a</w:t>
      </w:r>
      <w:r w:rsidR="007D32F7">
        <w:t> </w:t>
      </w:r>
      <w:r w:rsidR="007A4792" w:rsidRPr="00F62198">
        <w:t>likvidací anebo uložením konstrukcí</w:t>
      </w:r>
      <w:r w:rsidR="00F62198" w:rsidRPr="00F62198">
        <w:t xml:space="preserve"> budou neseny</w:t>
      </w:r>
      <w:r w:rsidR="007A4792" w:rsidRPr="00F62198">
        <w:t xml:space="preserve"> v plné výši ze strany města</w:t>
      </w:r>
      <w:r w:rsidR="00F62198" w:rsidRPr="00F62198">
        <w:t>.</w:t>
      </w:r>
    </w:p>
    <w:p w14:paraId="02A32C82" w14:textId="77777777" w:rsidR="00A119A8" w:rsidRDefault="00F62198" w:rsidP="00C3469A">
      <w:pPr>
        <w:jc w:val="both"/>
      </w:pPr>
      <w:r w:rsidRPr="00F62198">
        <w:t xml:space="preserve">Smluvní strany mezi sebou sjednaly povinnost provedení technické prověrky právě za účelem zjištění takových skutečností, které mohou mít vliv na provedení projektu a na výši jeho nákladů. Za tím účelem byl mezi stranami sjednán také postup, a to dohoda ohledně vypořádání takových negativních zjištění. V této záležitosti je mezi zástupci stran vedeno jednání ohledně konkrétní podoby finančního rozložení vzniklých nákladů mezi stranu města a stranu </w:t>
      </w:r>
      <w:r w:rsidR="00A119A8">
        <w:t>s</w:t>
      </w:r>
      <w:r w:rsidRPr="00F62198">
        <w:t xml:space="preserve">polečnosti. </w:t>
      </w:r>
    </w:p>
    <w:p w14:paraId="7E688781" w14:textId="6316D2D7" w:rsidR="00F62198" w:rsidRDefault="00F62198" w:rsidP="00F62198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Prodloužení termínů pro splnění jednotlivých povinností</w:t>
      </w:r>
    </w:p>
    <w:p w14:paraId="2143B7E0" w14:textId="7651495F" w:rsidR="00204AC5" w:rsidRDefault="00F62198" w:rsidP="00F62198">
      <w:pPr>
        <w:jc w:val="both"/>
      </w:pPr>
      <w:r w:rsidRPr="00F62198">
        <w:t xml:space="preserve">Společnost dále vyslovila návrh na úpravu </w:t>
      </w:r>
      <w:r w:rsidR="00A119A8">
        <w:t>K</w:t>
      </w:r>
      <w:r w:rsidRPr="00F62198">
        <w:t xml:space="preserve">upní smlouvy, pokud jde o jednotlivé termíny stanovené pro splnění základních smluvních povinností spojených s projekční a výstavbovou částí projektu. Obecně společnost navrhuje prodloužení termínů o 18 měsíců, k čemuž předložila sérii argumentů. </w:t>
      </w:r>
      <w:r w:rsidR="00204AC5">
        <w:t>Některé z argumentů je bezpochyby nutné označit za relevantní a prodloužení termínů ospravedlňující</w:t>
      </w:r>
      <w:r w:rsidR="00A572B8">
        <w:t xml:space="preserve"> (zejména změna koncepce ze dvou věží na jednu z důvodu zjištění z průzkum a požární bezpečnosti, nezbytnost využití okolí a tím nutná změna Kupní smlouvy z hlediska regulačních podmínek a opatření související s pandemií onemocnění Covid-19)</w:t>
      </w:r>
      <w:r w:rsidR="00204AC5">
        <w:t>, mezi stranami je však vedena diskuze ohledně konečné délky prodloužení termínů právě v návaznosti na intenzitu uvedených důvodů a jejich skutečný dopad na plnění dle</w:t>
      </w:r>
      <w:r w:rsidR="00A119A8">
        <w:t xml:space="preserve"> Kupní</w:t>
      </w:r>
      <w:r w:rsidR="00204AC5">
        <w:t xml:space="preserve"> smlouvy ve sjednaných termínech.</w:t>
      </w:r>
    </w:p>
    <w:p w14:paraId="6F5B9890" w14:textId="0D1F1982" w:rsidR="00204AC5" w:rsidRPr="00204AC5" w:rsidRDefault="00204AC5" w:rsidP="00204AC5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204AC5">
        <w:rPr>
          <w:b/>
          <w:bCs/>
        </w:rPr>
        <w:t>Úprava sjednaných smluvních pokut</w:t>
      </w:r>
    </w:p>
    <w:p w14:paraId="2070F6BD" w14:textId="77777777" w:rsidR="001B2BAF" w:rsidRDefault="00204AC5" w:rsidP="00204AC5">
      <w:pPr>
        <w:jc w:val="both"/>
      </w:pPr>
      <w:r>
        <w:lastRenderedPageBreak/>
        <w:t xml:space="preserve">Společnost s odůvodněním, že v době specifické pro podnikatelské prostředí, ovlivněné pandemií, je velmi náročné, až nemožné cokoliv dopředu plánovat či předpokládat budoucí vývoj, navrhuje upravit výši smluvní pokut a vznik povinnosti jednotlivé smluvní pokuty uhradit. </w:t>
      </w:r>
    </w:p>
    <w:p w14:paraId="47537686" w14:textId="3D4EEFD5" w:rsidR="0033721B" w:rsidRDefault="001B2BAF" w:rsidP="00204AC5">
      <w:pPr>
        <w:jc w:val="both"/>
      </w:pPr>
      <w:r>
        <w:t xml:space="preserve">Smluvní pokuty ve významné výši (30% z kupní ceny) jsou v Kupní smlouvě spojeny s porušením zásadních povinností souvisejících s projekční fází (předložení dokumentace, soulad dokumentace s nabídkou, podání žádosti o stavební povolení), </w:t>
      </w:r>
      <w:r w:rsidR="00A119A8">
        <w:t xml:space="preserve">s </w:t>
      </w:r>
      <w:r>
        <w:t>fází výstavby (dokončení výstavby) a s nakládáním s pozemky v rozporu s Kupní smlouvou. V této záležitosti jsou zatím jednání na počátku, sdělené stanovisko města však zůstává neměnné, smluvní pokuty musí dosahovat dostatečné intenzity, aby splnily svůj účel utvrzení závazku.</w:t>
      </w:r>
      <w:r w:rsidR="0033721B">
        <w:t xml:space="preserve"> </w:t>
      </w:r>
    </w:p>
    <w:p w14:paraId="7DA3805B" w14:textId="1FD0A51B" w:rsidR="00F62198" w:rsidRPr="00A572B8" w:rsidRDefault="0033721B" w:rsidP="00204AC5">
      <w:pPr>
        <w:jc w:val="both"/>
      </w:pPr>
      <w:r w:rsidRPr="00A572B8">
        <w:t xml:space="preserve">Společnost namítá </w:t>
      </w:r>
      <w:r w:rsidR="00A572B8" w:rsidRPr="00A572B8">
        <w:t>rovněž výkladové nejasnosti týkající se smluvních pokut dle Kupní smlouvy</w:t>
      </w:r>
      <w:r w:rsidRPr="00A572B8">
        <w:t xml:space="preserve">, </w:t>
      </w:r>
      <w:r w:rsidR="00A572B8" w:rsidRPr="00A572B8">
        <w:t xml:space="preserve">které </w:t>
      </w:r>
      <w:r w:rsidRPr="00A572B8">
        <w:t xml:space="preserve">navrhuje dodatkem odstranit, v této věci však Společnost předloží </w:t>
      </w:r>
      <w:r w:rsidR="005C0789" w:rsidRPr="00A572B8">
        <w:t xml:space="preserve">ještě </w:t>
      </w:r>
      <w:r w:rsidRPr="00A572B8">
        <w:t>doplňující stanovisko.</w:t>
      </w:r>
    </w:p>
    <w:p w14:paraId="543C5A12" w14:textId="77777777" w:rsidR="0095525A" w:rsidRDefault="0095525A" w:rsidP="00A572B8">
      <w:pPr>
        <w:pStyle w:val="Odstavecseseznamem"/>
        <w:ind w:hanging="720"/>
        <w:jc w:val="both"/>
        <w:rPr>
          <w:b/>
          <w:bCs/>
        </w:rPr>
      </w:pPr>
    </w:p>
    <w:p w14:paraId="3FC40E54" w14:textId="17CAA583" w:rsidR="0033721B" w:rsidRPr="00A119A8" w:rsidRDefault="0033721B" w:rsidP="00A572B8">
      <w:pPr>
        <w:pStyle w:val="Odstavecseseznamem"/>
        <w:ind w:hanging="720"/>
        <w:jc w:val="both"/>
        <w:rPr>
          <w:b/>
          <w:bCs/>
        </w:rPr>
      </w:pPr>
      <w:r w:rsidRPr="00A119A8">
        <w:rPr>
          <w:b/>
          <w:bCs/>
        </w:rPr>
        <w:t>Úprava urbanisticko-architektonického návrhu zástavby pozemků v lokalitě Slza</w:t>
      </w:r>
    </w:p>
    <w:p w14:paraId="3EE3987F" w14:textId="42AAE7E9" w:rsidR="0033721B" w:rsidRDefault="009E05E6" w:rsidP="00F244B0">
      <w:pPr>
        <w:jc w:val="both"/>
      </w:pPr>
      <w:r>
        <w:t xml:space="preserve">Jedním z bodů oznámení doručeného dne </w:t>
      </w:r>
      <w:r w:rsidR="00862DD6">
        <w:t xml:space="preserve">15.6.2021 </w:t>
      </w:r>
      <w:r>
        <w:t>je</w:t>
      </w:r>
      <w:r w:rsidR="00A572B8">
        <w:t>, nad rámec výše uvedených záležitostí,</w:t>
      </w:r>
      <w:r>
        <w:t xml:space="preserve"> také úprava čl. I odst. 8 Kupní smlouvy – specifikace výstavby na předmětných pozemcích. Společnost v oznámení avizovala úpravu urbanisticko-architektonického návrhu výstavby na předmětných pozemcích, spolu s uvedením důvodů, které ji k nutným úpravám vedly</w:t>
      </w:r>
      <w:r w:rsidR="008E08FC">
        <w:t>, zejména pak</w:t>
      </w:r>
      <w:r w:rsidR="0033721B">
        <w:t>:</w:t>
      </w:r>
    </w:p>
    <w:p w14:paraId="73867D30" w14:textId="683F26BE" w:rsidR="0033721B" w:rsidRDefault="0033721B" w:rsidP="00F244B0">
      <w:pPr>
        <w:pStyle w:val="Odstavecseseznamem"/>
        <w:numPr>
          <w:ilvl w:val="0"/>
          <w:numId w:val="3"/>
        </w:numPr>
        <w:jc w:val="both"/>
      </w:pPr>
      <w:r>
        <w:t>zvýšené nároky na založení objektu, požární řešení, počty výtahů a únikových cest</w:t>
      </w:r>
      <w:r w:rsidR="009E05E6">
        <w:t xml:space="preserve"> </w:t>
      </w:r>
      <w:r w:rsidR="008E08FC">
        <w:t>u původního návrhu</w:t>
      </w:r>
    </w:p>
    <w:p w14:paraId="2303CAD5" w14:textId="59BE2894" w:rsidR="0033721B" w:rsidRDefault="0033721B" w:rsidP="00F244B0">
      <w:pPr>
        <w:pStyle w:val="Odstavecseseznamem"/>
        <w:numPr>
          <w:ilvl w:val="0"/>
          <w:numId w:val="3"/>
        </w:numPr>
        <w:jc w:val="both"/>
      </w:pPr>
      <w:r>
        <w:t xml:space="preserve">další konstrukční úpravy z důvodu </w:t>
      </w:r>
      <w:r w:rsidR="008E08FC">
        <w:t>členitého uspořádání suterénu původního návrhu</w:t>
      </w:r>
    </w:p>
    <w:p w14:paraId="6F27A2A2" w14:textId="2E4E3442" w:rsidR="008E08FC" w:rsidRDefault="008E08FC" w:rsidP="00F244B0">
      <w:pPr>
        <w:pStyle w:val="Odstavecseseznamem"/>
        <w:numPr>
          <w:ilvl w:val="0"/>
          <w:numId w:val="3"/>
        </w:numPr>
        <w:jc w:val="both"/>
      </w:pPr>
      <w:r>
        <w:t>komplikace se založením v podmínkách poddolovaného území</w:t>
      </w:r>
      <w:r w:rsidR="00A119A8">
        <w:t xml:space="preserve">, </w:t>
      </w:r>
      <w:r w:rsidR="005C0789">
        <w:t xml:space="preserve">statika </w:t>
      </w:r>
      <w:r w:rsidR="00A119A8">
        <w:t>aj.</w:t>
      </w:r>
    </w:p>
    <w:p w14:paraId="6B8F2F6A" w14:textId="2D36E725" w:rsidR="00B87947" w:rsidRDefault="00B87947" w:rsidP="00F244B0">
      <w:pPr>
        <w:pStyle w:val="Odstavecseseznamem"/>
        <w:numPr>
          <w:ilvl w:val="0"/>
          <w:numId w:val="3"/>
        </w:numPr>
        <w:jc w:val="both"/>
      </w:pPr>
      <w:r>
        <w:t>komplexnost řešení z hlediska urbanistické a dopravní koncepce území, efektivnější využití lokality</w:t>
      </w:r>
      <w:r w:rsidR="00A572B8">
        <w:t>.</w:t>
      </w:r>
    </w:p>
    <w:p w14:paraId="1A13A9A6" w14:textId="6B1196CC" w:rsidR="008E08FC" w:rsidRDefault="008E08FC" w:rsidP="008E08FC">
      <w:pPr>
        <w:jc w:val="both"/>
      </w:pPr>
      <w:r>
        <w:t>Společnost proto městu poskytla upravený urbanistiko-architektonický návrh Ostrava Tower !!!, který představuje optimalizované provozní a technické řešení s příznivými předpoklady pro úspěšný návrh založení objektu</w:t>
      </w:r>
      <w:r w:rsidR="005C0789">
        <w:t>, který tvoří</w:t>
      </w:r>
      <w:r w:rsidR="003A3879">
        <w:t xml:space="preserve"> přílohu č.</w:t>
      </w:r>
      <w:r w:rsidR="005C0789">
        <w:t xml:space="preserve"> </w:t>
      </w:r>
      <w:r w:rsidR="003A3879">
        <w:t>4</w:t>
      </w:r>
      <w:r w:rsidR="00862DD6">
        <w:t xml:space="preserve"> </w:t>
      </w:r>
      <w:r w:rsidR="005C0789">
        <w:t>tohoto materiálu</w:t>
      </w:r>
      <w:r w:rsidR="003A3879">
        <w:t xml:space="preserve"> (jedná se o výňatek z celkové studie projektu)</w:t>
      </w:r>
      <w:r w:rsidR="005C0789">
        <w:t>.</w:t>
      </w:r>
      <w:r w:rsidR="003A3879">
        <w:t xml:space="preserve"> Obsahem příloh č. 5 – 11 tohoto materiálu jsou pak vizualizace.</w:t>
      </w:r>
    </w:p>
    <w:p w14:paraId="65726121" w14:textId="3EE7562A" w:rsidR="00A119A8" w:rsidRPr="0095525A" w:rsidRDefault="00A119A8" w:rsidP="00F244B0">
      <w:pPr>
        <w:jc w:val="both"/>
        <w:rPr>
          <w:b/>
          <w:bCs/>
        </w:rPr>
      </w:pPr>
      <w:r w:rsidRPr="0095525A">
        <w:rPr>
          <w:b/>
          <w:bCs/>
        </w:rPr>
        <w:t xml:space="preserve">Má-li být původní </w:t>
      </w:r>
      <w:r w:rsidR="009B3A1D" w:rsidRPr="0095525A">
        <w:rPr>
          <w:b/>
          <w:bCs/>
        </w:rPr>
        <w:t>urbanisticko-architektonický návrh</w:t>
      </w:r>
      <w:r w:rsidRPr="0095525A">
        <w:rPr>
          <w:b/>
          <w:bCs/>
        </w:rPr>
        <w:t xml:space="preserve"> nahrazen novým,</w:t>
      </w:r>
      <w:r w:rsidR="009B3A1D" w:rsidRPr="0095525A">
        <w:rPr>
          <w:b/>
          <w:bCs/>
        </w:rPr>
        <w:t xml:space="preserve"> musí</w:t>
      </w:r>
      <w:r w:rsidRPr="0095525A">
        <w:rPr>
          <w:b/>
          <w:bCs/>
        </w:rPr>
        <w:t xml:space="preserve"> tak</w:t>
      </w:r>
      <w:r w:rsidR="009B3A1D" w:rsidRPr="0095525A">
        <w:rPr>
          <w:b/>
          <w:bCs/>
        </w:rPr>
        <w:t xml:space="preserve"> být</w:t>
      </w:r>
      <w:r w:rsidRPr="0095525A">
        <w:rPr>
          <w:b/>
          <w:bCs/>
        </w:rPr>
        <w:t xml:space="preserve"> učiněno dodatkem</w:t>
      </w:r>
      <w:r w:rsidR="009B3A1D" w:rsidRPr="0095525A">
        <w:rPr>
          <w:b/>
          <w:bCs/>
        </w:rPr>
        <w:t xml:space="preserve"> ke Kupní smlouvě. </w:t>
      </w:r>
    </w:p>
    <w:p w14:paraId="7E915F16" w14:textId="45119796" w:rsidR="004D194A" w:rsidRDefault="00F244B0">
      <w:pPr>
        <w:jc w:val="both"/>
      </w:pPr>
      <w:r w:rsidRPr="003A3879">
        <w:t xml:space="preserve">Upravený urbanisticko-architektonický návrh </w:t>
      </w:r>
      <w:r w:rsidR="008E08FC" w:rsidRPr="003A3879">
        <w:t>přestupuje</w:t>
      </w:r>
      <w:r w:rsidRPr="003A3879">
        <w:t xml:space="preserve"> v</w:t>
      </w:r>
      <w:r w:rsidR="009B3A1D" w:rsidRPr="003A3879">
        <w:t xml:space="preserve">e své části </w:t>
      </w:r>
      <w:r w:rsidRPr="003A3879">
        <w:t>Regulační podmínky</w:t>
      </w:r>
      <w:bookmarkStart w:id="1" w:name="_Hlk80801177"/>
      <w:r w:rsidR="00862DD6" w:rsidRPr="003A3879">
        <w:t xml:space="preserve"> (příloha č. </w:t>
      </w:r>
      <w:r w:rsidR="003A3879" w:rsidRPr="003A3879">
        <w:t>3</w:t>
      </w:r>
      <w:r w:rsidR="00862DD6" w:rsidRPr="003A3879">
        <w:t xml:space="preserve"> tohoto materiálu)</w:t>
      </w:r>
      <w:r w:rsidR="009B3A1D" w:rsidRPr="003A3879">
        <w:t>. Regulační podmínky, které byly součástí záměru prodeje pozemků, vymezují plochu pro výstavbu objektu na pozemcích, a to tak, že takto vymezená plocha zcela koresponduje s</w:t>
      </w:r>
      <w:r w:rsidR="009B3A1D">
        <w:t xml:space="preserve"> plochou určenou Územním plánem pro způsob využití „plochy smíšené – bydlení a občanské vybavení“. </w:t>
      </w:r>
      <w:r w:rsidR="005C0789">
        <w:t xml:space="preserve">Byť </w:t>
      </w:r>
      <w:r w:rsidR="009B3A1D">
        <w:t>Objekt Ostrava Tower !!!</w:t>
      </w:r>
      <w:r w:rsidR="009145F1">
        <w:t xml:space="preserve"> </w:t>
      </w:r>
      <w:r w:rsidR="009B3A1D">
        <w:t>(hlavní stavba na pozemcích a výšková dominanta) zůstává zachován v této ploše</w:t>
      </w:r>
      <w:r w:rsidR="005C0789">
        <w:t>, nový</w:t>
      </w:r>
      <w:r w:rsidR="009B3A1D">
        <w:t xml:space="preserve"> návrh </w:t>
      </w:r>
      <w:r w:rsidR="00B63B5A">
        <w:t>reaguje na výsledky zpracované</w:t>
      </w:r>
      <w:r w:rsidR="00B63B5A" w:rsidRPr="00B63B5A">
        <w:t xml:space="preserve"> </w:t>
      </w:r>
      <w:r w:rsidR="00B63B5A">
        <w:t xml:space="preserve">due diligence, ve které </w:t>
      </w:r>
      <w:r w:rsidR="003F3E55">
        <w:t>dopěl k závěru, že je pro</w:t>
      </w:r>
      <w:r w:rsidR="007D32F7">
        <w:t> </w:t>
      </w:r>
      <w:r w:rsidR="003F3E55">
        <w:t>kvalitu veřejného prostoru, pro bezkolizní fungování výsledného řešení, potřeba citlivě napojit stavbu na komunikační strukturu centra města</w:t>
      </w:r>
      <w:r w:rsidR="0095525A">
        <w:t>,</w:t>
      </w:r>
      <w:r w:rsidR="003F3E55">
        <w:t xml:space="preserve"> a to jak na současnou Novou Karolinu, tak zejména na</w:t>
      </w:r>
      <w:r w:rsidR="007D32F7">
        <w:t> </w:t>
      </w:r>
      <w:r w:rsidR="003F3E55">
        <w:t>mostní těleso Frýdlantských mostů, které bez takového napojení zůstanou pouhou prostorovou a</w:t>
      </w:r>
      <w:r w:rsidR="007D32F7">
        <w:t> </w:t>
      </w:r>
      <w:r w:rsidR="003F3E55">
        <w:t>komunikační bariérou. Na základě tohoto zjištění navrhuje investor řešení, které</w:t>
      </w:r>
      <w:r w:rsidR="00B63B5A">
        <w:t xml:space="preserve"> </w:t>
      </w:r>
      <w:r w:rsidR="009B3A1D">
        <w:t xml:space="preserve">počítá </w:t>
      </w:r>
      <w:r w:rsidR="005C0789">
        <w:t>rovněž</w:t>
      </w:r>
      <w:r w:rsidR="009B3A1D">
        <w:t xml:space="preserve"> s využitím dalších</w:t>
      </w:r>
      <w:r w:rsidR="003F3E55">
        <w:t xml:space="preserve"> (navazujících)</w:t>
      </w:r>
      <w:r w:rsidR="009B3A1D">
        <w:t xml:space="preserve"> částí pozemků, které jsou v Územním plánu vymezeny </w:t>
      </w:r>
      <w:r w:rsidR="00A119A8">
        <w:t>jako</w:t>
      </w:r>
      <w:r w:rsidR="009B3A1D">
        <w:t xml:space="preserve"> </w:t>
      </w:r>
      <w:r w:rsidR="009145F1">
        <w:t>plochy pozemních komunikací. Dle Územního plánu však platí, že zbydou-li v těchto plochách</w:t>
      </w:r>
      <w:r w:rsidR="003F3E55">
        <w:t>, rezervovaných pro umístění dané komunikace</w:t>
      </w:r>
      <w:r w:rsidR="00341974">
        <w:t>,</w:t>
      </w:r>
      <w:r w:rsidR="009145F1">
        <w:t xml:space="preserve"> po realizaci </w:t>
      </w:r>
      <w:r w:rsidR="003F3E55">
        <w:t xml:space="preserve">těchto </w:t>
      </w:r>
      <w:r w:rsidR="009145F1">
        <w:t>pozemních komunikací</w:t>
      </w:r>
      <w:r w:rsidR="00341974">
        <w:t xml:space="preserve"> volné plochy</w:t>
      </w:r>
      <w:r w:rsidR="006945DE">
        <w:t>,</w:t>
      </w:r>
      <w:r w:rsidR="009145F1">
        <w:t xml:space="preserve"> lze je </w:t>
      </w:r>
      <w:r w:rsidR="004D194A">
        <w:t>vy</w:t>
      </w:r>
      <w:r w:rsidR="009145F1">
        <w:t xml:space="preserve">užít </w:t>
      </w:r>
      <w:r w:rsidR="009145F1">
        <w:lastRenderedPageBreak/>
        <w:t>k zástavbě svým využití</w:t>
      </w:r>
      <w:r w:rsidR="004D194A">
        <w:t>m</w:t>
      </w:r>
      <w:r w:rsidR="009145F1">
        <w:t xml:space="preserve"> odpovídající přilehlým pozemkům – tedy v tomto případě plochám </w:t>
      </w:r>
      <w:r w:rsidR="00096A80">
        <w:t xml:space="preserve">smíšeným – bydlení a občanské vybavení. </w:t>
      </w:r>
    </w:p>
    <w:p w14:paraId="76B636F0" w14:textId="1638922C" w:rsidR="009B3A1D" w:rsidRDefault="00096A80" w:rsidP="00F244B0">
      <w:pPr>
        <w:jc w:val="both"/>
      </w:pPr>
      <w:r>
        <w:t xml:space="preserve">Upravený </w:t>
      </w:r>
      <w:r w:rsidR="004D194A">
        <w:t xml:space="preserve">urbanisticko-architektonický </w:t>
      </w:r>
      <w:r>
        <w:t>návrh</w:t>
      </w:r>
      <w:r w:rsidR="00341974">
        <w:t>,</w:t>
      </w:r>
      <w:r>
        <w:t xml:space="preserve"> </w:t>
      </w:r>
      <w:r w:rsidR="00341974">
        <w:t>ve smyslu zpracované</w:t>
      </w:r>
      <w:r w:rsidR="00341974" w:rsidRPr="00B63B5A">
        <w:t xml:space="preserve"> </w:t>
      </w:r>
      <w:r w:rsidR="00341974">
        <w:t xml:space="preserve">due diligence, </w:t>
      </w:r>
      <w:r>
        <w:t>předpokládá</w:t>
      </w:r>
      <w:r w:rsidR="00341974">
        <w:t xml:space="preserve"> a</w:t>
      </w:r>
      <w:r w:rsidR="007D32F7">
        <w:t> </w:t>
      </w:r>
      <w:r w:rsidR="00341974">
        <w:t>navrhuje</w:t>
      </w:r>
      <w:r>
        <w:t xml:space="preserve"> právě takové využití těchto ploch</w:t>
      </w:r>
      <w:r w:rsidR="00341974">
        <w:t>. Návrh se zabývá citlivým navázáním výškového objektu na okolní území, zabývá se napojením této významné stavby na území Nové Karoliny, rovněž tak i</w:t>
      </w:r>
      <w:r w:rsidR="007D32F7">
        <w:t> </w:t>
      </w:r>
      <w:r w:rsidR="00341974">
        <w:t xml:space="preserve">Frýdlantských mostů, které dnes stavební pozemek obcházejí v jiné výškové </w:t>
      </w:r>
      <w:r w:rsidR="00716B2E">
        <w:t>úrovni a</w:t>
      </w:r>
      <w:r w:rsidR="00341974">
        <w:t xml:space="preserve"> nezapojují se tak do fungování veřejného prostoru. Stavbu navrhuje doplnit o komunikační plato, které vyrovná současné výškové komunikační rozdíly, včetně oživení o doplňkové stavby tak, aby se nejednalo </w:t>
      </w:r>
      <w:r w:rsidR="00716B2E">
        <w:t>opět</w:t>
      </w:r>
      <w:r w:rsidR="00341974">
        <w:t xml:space="preserve"> o pouhou komunikační stavbu, ale o živý městský prostor, odpovídající </w:t>
      </w:r>
      <w:r w:rsidR="00716B2E">
        <w:t>významu</w:t>
      </w:r>
      <w:r w:rsidR="00341974">
        <w:t xml:space="preserve"> Nové Karoliny jako </w:t>
      </w:r>
      <w:r w:rsidR="00716B2E">
        <w:t>prodlouženému</w:t>
      </w:r>
      <w:r w:rsidR="00341974">
        <w:t xml:space="preserve"> centru města. Hlavní stavba je umístěna dle </w:t>
      </w:r>
      <w:r w:rsidR="0095525A">
        <w:t>R</w:t>
      </w:r>
      <w:r w:rsidR="00341974">
        <w:t xml:space="preserve">egulačních podmínek ve vymezené ploše. Realizací navrženého řešení se však </w:t>
      </w:r>
      <w:r w:rsidR="00716B2E">
        <w:t>investor</w:t>
      </w:r>
      <w:r w:rsidR="00341974">
        <w:t xml:space="preserve"> dostává</w:t>
      </w:r>
      <w:r w:rsidR="00716B2E">
        <w:t xml:space="preserve"> do ploch navazujících na plochu smíšenou. Záměr by bylo bezesporu možno realizovat i v rozsahu ploch smíšených, avšak na úkor kvality urbanistického řešení a realizace řešení, jehož náprava by byla již velice komplikovaná.</w:t>
      </w:r>
      <w:r>
        <w:t xml:space="preserve"> </w:t>
      </w:r>
      <w:r w:rsidR="00716B2E">
        <w:t xml:space="preserve"> Jak už bylo konstatováno, t</w:t>
      </w:r>
      <w:r>
        <w:t xml:space="preserve">ímto upraveným návrhem společnost funkčně a urbanisticky dotváří okolí hlavní výškové dominanty a napojuje ji </w:t>
      </w:r>
      <w:r w:rsidR="001627EB">
        <w:t xml:space="preserve">žádoucím a vhodným způsobem </w:t>
      </w:r>
      <w:r>
        <w:t xml:space="preserve">na výškově odlišně profilovanou stávající okolní zástavbu, zejména ulici 28. října (a navazující komunikační vazby směrem k nádraží Ostrava – Střed) a </w:t>
      </w:r>
      <w:r w:rsidR="005C0789">
        <w:t xml:space="preserve">obchodní </w:t>
      </w:r>
      <w:r>
        <w:t>centrum Nové Karoliny</w:t>
      </w:r>
      <w:r w:rsidR="001627EB">
        <w:t xml:space="preserve">, čímž </w:t>
      </w:r>
      <w:r w:rsidR="005C0789">
        <w:t xml:space="preserve">dochází daleko k lepší integraci s okolní </w:t>
      </w:r>
      <w:r w:rsidR="001627EB">
        <w:t>zástavb</w:t>
      </w:r>
      <w:r w:rsidR="005C0789">
        <w:t>ou</w:t>
      </w:r>
      <w:r w:rsidR="00FF172C">
        <w:t>. Vzniká nový veřejný prostor.</w:t>
      </w:r>
    </w:p>
    <w:bookmarkEnd w:id="1"/>
    <w:p w14:paraId="4CF110F2" w14:textId="77777777" w:rsidR="00DA44A9" w:rsidRDefault="00DA44A9" w:rsidP="008637A1">
      <w:pPr>
        <w:jc w:val="both"/>
        <w:rPr>
          <w:b/>
          <w:bCs/>
        </w:rPr>
      </w:pPr>
    </w:p>
    <w:p w14:paraId="4A0BF104" w14:textId="4DBC540B" w:rsidR="0095525A" w:rsidRDefault="0095525A" w:rsidP="008637A1">
      <w:pPr>
        <w:jc w:val="both"/>
        <w:rPr>
          <w:b/>
          <w:bCs/>
        </w:rPr>
      </w:pPr>
      <w:r>
        <w:rPr>
          <w:b/>
          <w:bCs/>
        </w:rPr>
        <w:t>Shrnující závěr</w:t>
      </w:r>
    </w:p>
    <w:p w14:paraId="7C33BBFE" w14:textId="76657446" w:rsidR="003A3879" w:rsidRPr="0095525A" w:rsidRDefault="0095525A" w:rsidP="003A3879">
      <w:pPr>
        <w:jc w:val="both"/>
        <w:rPr>
          <w:b/>
          <w:bCs/>
        </w:rPr>
      </w:pPr>
      <w:r>
        <w:rPr>
          <w:b/>
          <w:bCs/>
        </w:rPr>
        <w:t>Cílem je všechny výše uvedené záležitosti vypořádat tak, aby byl na říjnové zasedání zastupitelstva města předložen návrh dodatku č. 1 ke Kupní smlouvě, včetně všech argumentů relevantních pro</w:t>
      </w:r>
      <w:r w:rsidR="007D32F7">
        <w:rPr>
          <w:b/>
          <w:bCs/>
        </w:rPr>
        <w:t> </w:t>
      </w:r>
      <w:r>
        <w:rPr>
          <w:b/>
          <w:bCs/>
        </w:rPr>
        <w:t xml:space="preserve">jeho uzavření. </w:t>
      </w:r>
      <w:r w:rsidR="003A3879" w:rsidRPr="0095525A">
        <w:rPr>
          <w:b/>
          <w:bCs/>
        </w:rPr>
        <w:t>Předložený záměr města je pak zákonným předpokladem dalšího postupu v</w:t>
      </w:r>
      <w:r w:rsidR="003A3879">
        <w:rPr>
          <w:b/>
          <w:bCs/>
        </w:rPr>
        <w:t>e věci</w:t>
      </w:r>
      <w:r w:rsidR="003A3879" w:rsidRPr="0095525A">
        <w:rPr>
          <w:b/>
          <w:bCs/>
        </w:rPr>
        <w:t xml:space="preserve"> </w:t>
      </w:r>
      <w:r w:rsidR="003A3879">
        <w:rPr>
          <w:b/>
          <w:bCs/>
        </w:rPr>
        <w:t>smluvní úpravy změny urbanisticko-architektonického návrhu zástavby pozemků.</w:t>
      </w:r>
      <w:r w:rsidR="003A3879" w:rsidRPr="0095525A" w:rsidDel="0095525A">
        <w:rPr>
          <w:b/>
          <w:bCs/>
        </w:rPr>
        <w:t xml:space="preserve"> </w:t>
      </w:r>
    </w:p>
    <w:p w14:paraId="33C6ABFD" w14:textId="77777777" w:rsidR="007D32F7" w:rsidRDefault="007D32F7" w:rsidP="008637A1">
      <w:pPr>
        <w:jc w:val="both"/>
        <w:rPr>
          <w:b/>
          <w:bCs/>
        </w:rPr>
      </w:pPr>
    </w:p>
    <w:p w14:paraId="6AB43438" w14:textId="18EE2CAD" w:rsidR="007548EE" w:rsidRDefault="007D32F7" w:rsidP="008637A1">
      <w:pPr>
        <w:jc w:val="both"/>
        <w:rPr>
          <w:b/>
          <w:bCs/>
        </w:rPr>
      </w:pPr>
      <w:r>
        <w:rPr>
          <w:b/>
          <w:bCs/>
        </w:rPr>
        <w:t>Projednáno v radě města</w:t>
      </w:r>
    </w:p>
    <w:p w14:paraId="46D24402" w14:textId="4D00D94E" w:rsidR="007548EE" w:rsidRPr="007548EE" w:rsidRDefault="007D32F7" w:rsidP="008637A1">
      <w:pPr>
        <w:jc w:val="both"/>
      </w:pPr>
      <w:r>
        <w:t xml:space="preserve">Rada města dne 7. 9. 2021 </w:t>
      </w:r>
      <w:r w:rsidR="007548EE">
        <w:t>doporučila:</w:t>
      </w:r>
    </w:p>
    <w:p w14:paraId="65841BD4" w14:textId="57411220" w:rsidR="007548EE" w:rsidRDefault="007548EE" w:rsidP="00984DE5">
      <w:pPr>
        <w:pStyle w:val="Odstavecseseznamem"/>
        <w:numPr>
          <w:ilvl w:val="0"/>
          <w:numId w:val="3"/>
        </w:numPr>
        <w:jc w:val="both"/>
        <w:rPr>
          <w:rFonts w:cstheme="minorHAnsi"/>
          <w:color w:val="000000"/>
        </w:rPr>
      </w:pPr>
      <w:r w:rsidRPr="007548EE">
        <w:rPr>
          <w:rFonts w:cstheme="minorHAnsi"/>
          <w:color w:val="000000"/>
        </w:rPr>
        <w:t>zastupitelstvu města projednat informaci ve věci Kupní smlouvy s předkupním právem a</w:t>
      </w:r>
      <w:r>
        <w:rPr>
          <w:rFonts w:cstheme="minorHAnsi"/>
          <w:color w:val="000000"/>
        </w:rPr>
        <w:t> </w:t>
      </w:r>
      <w:r w:rsidRPr="007548EE">
        <w:rPr>
          <w:rFonts w:cstheme="minorHAnsi"/>
          <w:color w:val="000000"/>
        </w:rPr>
        <w:t>zákazem zcizení uzavřené mezi statutárním městem Ostrava a společností RT TORAX, s.r.o.</w:t>
      </w:r>
      <w:r>
        <w:rPr>
          <w:rFonts w:cstheme="minorHAnsi"/>
          <w:color w:val="000000"/>
        </w:rPr>
        <w:t>;</w:t>
      </w:r>
    </w:p>
    <w:p w14:paraId="7FE049CA" w14:textId="5B0A5C78" w:rsidR="007548EE" w:rsidRPr="007D32F7" w:rsidRDefault="007548EE" w:rsidP="007548EE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7548EE">
        <w:rPr>
          <w:rFonts w:eastAsia="Times New Roman" w:cstheme="minorHAnsi"/>
          <w:color w:val="000000"/>
          <w:lang w:eastAsia="cs-CZ"/>
        </w:rPr>
        <w:t>zastupitelstvu města rozhodnout o záměru změny Kupní smlouvy s předkupním právem a zákazem zcizené uzavřené dne 9. 12. 2020 mezi statutárním městem Ostrava a společností RT TORAX, s.r.o., spočívající v úpravě urbanisticko-architektonického návrhu zástavby dotčených pozemků v k.ú. Moravská Ostrava, obec Ostrava za současné akceptace přestoupení Základních regulačních podmínek Útvaru hlavního architekta a stavebního řádu Magistrátu města Ostravy z únoru 2019</w:t>
      </w:r>
      <w:r>
        <w:rPr>
          <w:rFonts w:eastAsia="Times New Roman" w:cstheme="minorHAnsi"/>
          <w:color w:val="000000"/>
          <w:lang w:eastAsia="cs-CZ"/>
        </w:rPr>
        <w:t>.</w:t>
      </w:r>
      <w:r w:rsidRPr="007548EE">
        <w:rPr>
          <w:rFonts w:eastAsia="Times New Roman" w:cstheme="minorHAnsi"/>
          <w:color w:val="000000"/>
          <w:lang w:eastAsia="cs-CZ"/>
        </w:rPr>
        <w:t xml:space="preserve"> </w:t>
      </w:r>
    </w:p>
    <w:p w14:paraId="4D6797B8" w14:textId="77777777" w:rsidR="007D32F7" w:rsidRPr="007D32F7" w:rsidRDefault="007D32F7" w:rsidP="007D32F7">
      <w:pPr>
        <w:pStyle w:val="Odstavecseseznamem"/>
        <w:rPr>
          <w:rFonts w:cstheme="minorHAnsi"/>
          <w:b/>
          <w:bCs/>
        </w:rPr>
      </w:pPr>
    </w:p>
    <w:p w14:paraId="45AA44DA" w14:textId="77777777" w:rsidR="007D32F7" w:rsidRDefault="007D32F7" w:rsidP="007D32F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Upozornění</w:t>
      </w:r>
    </w:p>
    <w:p w14:paraId="378A3D8A" w14:textId="266B81FE" w:rsidR="007D32F7" w:rsidRPr="007D32F7" w:rsidRDefault="007D32F7" w:rsidP="007D32F7">
      <w:pPr>
        <w:jc w:val="both"/>
        <w:rPr>
          <w:rFonts w:cstheme="minorHAnsi"/>
          <w:b/>
          <w:bCs/>
        </w:rPr>
      </w:pPr>
      <w:r>
        <w:t>Tento materiál obsahuje informace podléhající ochraně osobních údajů, které by neměly být zveřejňovány dle zák. č. 106/1999 Sb., o svobodném přístupu k informacím, ve znění pozdějších předpisů, jelikož jsou chráněny zák. č. 110/2019 Sb., o ochraně osobních údajů a o změně některých zákonů, ve znění pozdějších předpisů.</w:t>
      </w:r>
    </w:p>
    <w:sectPr w:rsidR="007D32F7" w:rsidRPr="007D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090"/>
    <w:multiLevelType w:val="hybridMultilevel"/>
    <w:tmpl w:val="30A6E170"/>
    <w:lvl w:ilvl="0" w:tplc="B4B651D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77094"/>
    <w:multiLevelType w:val="hybridMultilevel"/>
    <w:tmpl w:val="EF40F230"/>
    <w:lvl w:ilvl="0" w:tplc="EC5E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12D3"/>
    <w:multiLevelType w:val="hybridMultilevel"/>
    <w:tmpl w:val="82D00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6150"/>
    <w:multiLevelType w:val="hybridMultilevel"/>
    <w:tmpl w:val="54D27330"/>
    <w:lvl w:ilvl="0" w:tplc="F9909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07"/>
    <w:rsid w:val="000145BF"/>
    <w:rsid w:val="00036712"/>
    <w:rsid w:val="00096A80"/>
    <w:rsid w:val="000B40A6"/>
    <w:rsid w:val="00131B05"/>
    <w:rsid w:val="00136DDD"/>
    <w:rsid w:val="00160CF8"/>
    <w:rsid w:val="001627EB"/>
    <w:rsid w:val="001851B6"/>
    <w:rsid w:val="001B2BAF"/>
    <w:rsid w:val="00204AC5"/>
    <w:rsid w:val="0026057D"/>
    <w:rsid w:val="002B7566"/>
    <w:rsid w:val="002C2AC7"/>
    <w:rsid w:val="0033721B"/>
    <w:rsid w:val="00341974"/>
    <w:rsid w:val="00372953"/>
    <w:rsid w:val="003A3879"/>
    <w:rsid w:val="003F3E55"/>
    <w:rsid w:val="004D194A"/>
    <w:rsid w:val="00503F5D"/>
    <w:rsid w:val="005A716A"/>
    <w:rsid w:val="005C0789"/>
    <w:rsid w:val="005C3907"/>
    <w:rsid w:val="00687B1E"/>
    <w:rsid w:val="006945DE"/>
    <w:rsid w:val="006A48B0"/>
    <w:rsid w:val="006A56CA"/>
    <w:rsid w:val="00716B2E"/>
    <w:rsid w:val="00746C0A"/>
    <w:rsid w:val="007548EE"/>
    <w:rsid w:val="007A4792"/>
    <w:rsid w:val="007D32F7"/>
    <w:rsid w:val="00862DD6"/>
    <w:rsid w:val="008637A1"/>
    <w:rsid w:val="008C26CA"/>
    <w:rsid w:val="008E08FC"/>
    <w:rsid w:val="009145F1"/>
    <w:rsid w:val="0095525A"/>
    <w:rsid w:val="009B1159"/>
    <w:rsid w:val="009B3A1D"/>
    <w:rsid w:val="009C1003"/>
    <w:rsid w:val="009D74E9"/>
    <w:rsid w:val="009E05E6"/>
    <w:rsid w:val="00A119A8"/>
    <w:rsid w:val="00A572B8"/>
    <w:rsid w:val="00B52829"/>
    <w:rsid w:val="00B611E7"/>
    <w:rsid w:val="00B63B5A"/>
    <w:rsid w:val="00B87947"/>
    <w:rsid w:val="00B91373"/>
    <w:rsid w:val="00C3469A"/>
    <w:rsid w:val="00C9464C"/>
    <w:rsid w:val="00DA44A9"/>
    <w:rsid w:val="00E31C23"/>
    <w:rsid w:val="00E8242F"/>
    <w:rsid w:val="00F244B0"/>
    <w:rsid w:val="00F61C94"/>
    <w:rsid w:val="00F62198"/>
    <w:rsid w:val="00F87B26"/>
    <w:rsid w:val="00F9231A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C7B3"/>
  <w15:chartTrackingRefBased/>
  <w15:docId w15:val="{5F1972A8-8482-4FBA-AC0F-181EA6F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9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B1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C07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7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7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7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78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B1159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75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8F5C7-8D8C-4792-BFA3-590DBF55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Carbolová Vladimíra</dc:creator>
  <cp:keywords/>
  <dc:description/>
  <cp:lastModifiedBy>Kučinská Marie</cp:lastModifiedBy>
  <cp:revision>2</cp:revision>
  <cp:lastPrinted>2021-09-06T11:46:00Z</cp:lastPrinted>
  <dcterms:created xsi:type="dcterms:W3CDTF">2021-09-07T09:04:00Z</dcterms:created>
  <dcterms:modified xsi:type="dcterms:W3CDTF">2021-09-07T09:04:00Z</dcterms:modified>
</cp:coreProperties>
</file>