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F5E8" w14:textId="77777777" w:rsidR="00880086" w:rsidRDefault="00880086" w:rsidP="0073215A">
      <w:pPr>
        <w:pStyle w:val="Zkladntext"/>
        <w:jc w:val="left"/>
        <w:rPr>
          <w:b/>
          <w:bCs/>
          <w:sz w:val="36"/>
          <w:szCs w:val="36"/>
        </w:rPr>
      </w:pPr>
    </w:p>
    <w:p w14:paraId="7C34B6E4" w14:textId="33709CE6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0D593B2C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65F8C706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14:paraId="13F82360" w14:textId="13A57966" w:rsidR="0073215A" w:rsidRDefault="0073215A" w:rsidP="0073215A">
      <w:pPr>
        <w:pStyle w:val="Zkladntext"/>
        <w:jc w:val="left"/>
        <w:rPr>
          <w:bCs/>
        </w:rPr>
      </w:pPr>
      <w:r>
        <w:rPr>
          <w:bCs/>
        </w:rPr>
        <w:t xml:space="preserve">Záměr směny nemovitých věcí v k.ú. </w:t>
      </w:r>
      <w:r w:rsidR="0015542B">
        <w:rPr>
          <w:bCs/>
        </w:rPr>
        <w:t>Pustkovec</w:t>
      </w:r>
      <w:r>
        <w:rPr>
          <w:bCs/>
        </w:rPr>
        <w:t>, obec Ostrava.</w:t>
      </w:r>
    </w:p>
    <w:p w14:paraId="3171C675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74D75343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14:paraId="6F041F5B" w14:textId="1644B52F" w:rsidR="0015542B" w:rsidRDefault="0073215A" w:rsidP="0073215A">
      <w:pPr>
        <w:pStyle w:val="Zkladntext"/>
        <w:numPr>
          <w:ilvl w:val="0"/>
          <w:numId w:val="1"/>
        </w:numPr>
      </w:pPr>
      <w:r>
        <w:t>část pozemku p</w:t>
      </w:r>
      <w:r w:rsidR="0015542B">
        <w:t>arc.č. 4222/1</w:t>
      </w:r>
      <w:r>
        <w:t xml:space="preserve">, ost. plocha, ost. komunikace, </w:t>
      </w:r>
      <w:r w:rsidR="0015542B">
        <w:t>o výměře 144 m</w:t>
      </w:r>
      <w:r w:rsidR="0015542B">
        <w:rPr>
          <w:vertAlign w:val="superscript"/>
        </w:rPr>
        <w:t>2</w:t>
      </w:r>
      <w:r w:rsidR="0015542B">
        <w:t xml:space="preserve">, </w:t>
      </w:r>
    </w:p>
    <w:p w14:paraId="6962FC89" w14:textId="65572BB0" w:rsidR="0015542B" w:rsidRDefault="0015542B" w:rsidP="0073215A">
      <w:pPr>
        <w:pStyle w:val="Zkladntext"/>
        <w:numPr>
          <w:ilvl w:val="0"/>
          <w:numId w:val="1"/>
        </w:numPr>
      </w:pPr>
      <w:r>
        <w:t xml:space="preserve">část pozemku parc.č. 4223/1, ost. plocha, ost. komunikace, o výměře 14 </w:t>
      </w:r>
      <w:r w:rsidRPr="0015542B">
        <w:t>m</w:t>
      </w:r>
      <w:r w:rsidRPr="0015542B">
        <w:rPr>
          <w:vertAlign w:val="superscript"/>
        </w:rPr>
        <w:t>2</w:t>
      </w:r>
      <w:r>
        <w:t>,</w:t>
      </w:r>
      <w:r w:rsidR="00880086">
        <w:t xml:space="preserve"> </w:t>
      </w:r>
      <w:r w:rsidR="00880086">
        <w:br/>
        <w:t>tj. celkem 158 m</w:t>
      </w:r>
      <w:r w:rsidR="00880086">
        <w:rPr>
          <w:vertAlign w:val="superscript"/>
        </w:rPr>
        <w:t>2</w:t>
      </w:r>
      <w:r>
        <w:t xml:space="preserve"> </w:t>
      </w:r>
    </w:p>
    <w:p w14:paraId="7F95BBC6" w14:textId="3514B9FD" w:rsidR="0073215A" w:rsidRDefault="0015542B" w:rsidP="0015542B">
      <w:pPr>
        <w:pStyle w:val="Zkladntext"/>
      </w:pPr>
      <w:r>
        <w:t xml:space="preserve">oba </w:t>
      </w:r>
      <w:r w:rsidR="0073215A" w:rsidRPr="0015542B">
        <w:t>ve</w:t>
      </w:r>
      <w:r w:rsidR="0073215A">
        <w:t xml:space="preserve"> vlastnictví statutárního města Ostrava, svěřen</w:t>
      </w:r>
      <w:r>
        <w:t>é</w:t>
      </w:r>
      <w:r w:rsidR="0073215A">
        <w:t xml:space="preserve"> městskému obvodu </w:t>
      </w:r>
      <w:r>
        <w:t>Pustkovec</w:t>
      </w:r>
      <w:r w:rsidR="00D61AB0">
        <w:t xml:space="preserve"> (dále jen předmět směny č. 1)</w:t>
      </w:r>
    </w:p>
    <w:p w14:paraId="0D3787D4" w14:textId="481E5E9B" w:rsidR="0073215A" w:rsidRDefault="0073215A" w:rsidP="0073215A">
      <w:pPr>
        <w:pStyle w:val="Zkladntext"/>
      </w:pPr>
      <w:r>
        <w:t>za</w:t>
      </w:r>
    </w:p>
    <w:p w14:paraId="2AA37E3C" w14:textId="48475E34" w:rsidR="0073215A" w:rsidRDefault="0073215A" w:rsidP="00564D68">
      <w:pPr>
        <w:pStyle w:val="Zkladntext"/>
        <w:numPr>
          <w:ilvl w:val="0"/>
          <w:numId w:val="1"/>
        </w:numPr>
      </w:pPr>
      <w:r>
        <w:t xml:space="preserve">část pozemku </w:t>
      </w:r>
      <w:r w:rsidR="0015542B">
        <w:t xml:space="preserve">parc.č. 4219/1, ost. plocha, </w:t>
      </w:r>
      <w:r>
        <w:t xml:space="preserve">o výměře </w:t>
      </w:r>
      <w:r w:rsidR="0015542B">
        <w:t>158</w:t>
      </w:r>
      <w:r>
        <w:t xml:space="preserve"> m</w:t>
      </w:r>
      <w:r w:rsidRPr="0015542B">
        <w:rPr>
          <w:vertAlign w:val="superscript"/>
        </w:rPr>
        <w:t>2</w:t>
      </w:r>
      <w:r>
        <w:t xml:space="preserve">, </w:t>
      </w:r>
    </w:p>
    <w:p w14:paraId="0A83BDC8" w14:textId="56992116" w:rsidR="0015542B" w:rsidRDefault="0073215A" w:rsidP="0015542B">
      <w:pPr>
        <w:pStyle w:val="Zkladntext"/>
      </w:pPr>
      <w:r>
        <w:t xml:space="preserve">ve vlastnictví </w:t>
      </w:r>
      <w:r w:rsidR="0015542B">
        <w:t>společnosti K2 Pustkovec s.r.o., sídlo Pustkovecká 6/110, Pustkovec, 708 00 Ostrava, IČO 070 57</w:t>
      </w:r>
      <w:r w:rsidR="00D61AB0">
        <w:t> </w:t>
      </w:r>
      <w:r w:rsidR="0015542B">
        <w:t>482</w:t>
      </w:r>
      <w:r w:rsidR="00D61AB0">
        <w:t xml:space="preserve"> (dále jen předmět směny č. 2)</w:t>
      </w:r>
      <w:r w:rsidR="0015542B">
        <w:t xml:space="preserve"> </w:t>
      </w:r>
    </w:p>
    <w:p w14:paraId="5D2E8788" w14:textId="2456301C" w:rsidR="0073215A" w:rsidRDefault="0015542B" w:rsidP="0015542B">
      <w:pPr>
        <w:pStyle w:val="Zkladntext"/>
        <w:spacing w:before="240"/>
      </w:pPr>
      <w:r>
        <w:t xml:space="preserve">vše dosud neoddělené geometrickým plánem </w:t>
      </w:r>
      <w:r w:rsidR="00880086">
        <w:t>(</w:t>
      </w:r>
      <w:r w:rsidR="0073215A">
        <w:t>viz příloha č.</w:t>
      </w:r>
      <w:r w:rsidR="00880086">
        <w:t>1/3).</w:t>
      </w:r>
    </w:p>
    <w:p w14:paraId="5D124E09" w14:textId="6AC975CC" w:rsidR="0073215A" w:rsidRDefault="0073215A" w:rsidP="0073215A">
      <w:pPr>
        <w:pStyle w:val="Zkladntext"/>
      </w:pPr>
    </w:p>
    <w:p w14:paraId="619A67A8" w14:textId="5BD9CF36" w:rsidR="00880086" w:rsidRPr="0098243A" w:rsidRDefault="00880086" w:rsidP="00880086">
      <w:pPr>
        <w:pStyle w:val="Zkladntext"/>
      </w:pPr>
      <w:r w:rsidRPr="0098243A">
        <w:t>Předmětn</w:t>
      </w:r>
      <w:r>
        <w:t>é</w:t>
      </w:r>
      <w:r w:rsidRPr="0098243A">
        <w:t xml:space="preserve"> pozem</w:t>
      </w:r>
      <w:r>
        <w:t>ky</w:t>
      </w:r>
      <w:r w:rsidRPr="0098243A">
        <w:t xml:space="preserve"> se nachází u ulice </w:t>
      </w:r>
      <w:r>
        <w:t>Pustkovecká</w:t>
      </w:r>
      <w:r w:rsidRPr="0098243A">
        <w:t xml:space="preserve"> (</w:t>
      </w:r>
      <w:r>
        <w:t xml:space="preserve">viz </w:t>
      </w:r>
      <w:r w:rsidRPr="0098243A">
        <w:t xml:space="preserve">příloha č. 1/1 a </w:t>
      </w:r>
      <w:r>
        <w:t>1/2</w:t>
      </w:r>
      <w:r w:rsidRPr="0098243A">
        <w:t xml:space="preserve">). </w:t>
      </w:r>
    </w:p>
    <w:p w14:paraId="4DB8F142" w14:textId="77777777" w:rsidR="00880086" w:rsidRDefault="00880086" w:rsidP="0073215A">
      <w:pPr>
        <w:pStyle w:val="Zkladntext"/>
      </w:pPr>
    </w:p>
    <w:p w14:paraId="006AAE1C" w14:textId="77777777" w:rsidR="0015542B" w:rsidRDefault="0015542B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14:paraId="2248A31C" w14:textId="706F7F11" w:rsidR="0073215A" w:rsidRDefault="0073215A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14:paraId="21D00311" w14:textId="74642A5F" w:rsidR="00B43040" w:rsidRDefault="00B43040" w:rsidP="00B43040">
      <w:pPr>
        <w:pStyle w:val="Zkladntext"/>
      </w:pPr>
      <w:r>
        <w:t>K2 Pustkovec s.r.o., sídlo Pustkovecká 6/110, Pustkovec, 708 00 Ostrava, IČO 070 57</w:t>
      </w:r>
      <w:r w:rsidR="00880086">
        <w:t> </w:t>
      </w:r>
      <w:r>
        <w:t>482</w:t>
      </w:r>
      <w:r w:rsidR="00880086">
        <w:t xml:space="preserve"> (viz příloha č. 1/5).</w:t>
      </w:r>
      <w:r>
        <w:t xml:space="preserve"> </w:t>
      </w:r>
    </w:p>
    <w:p w14:paraId="1F5767EC" w14:textId="27D8338D" w:rsidR="0073215A" w:rsidRDefault="0073215A" w:rsidP="00B43040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73A7F81" w14:textId="77777777" w:rsidR="0073215A" w:rsidRDefault="0073215A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14:paraId="1A3A6F9A" w14:textId="2D8C4B88" w:rsidR="0073215A" w:rsidRDefault="00B43040" w:rsidP="0073215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Žadatel, prostřednictvím MOb Pustkovec, požádal o směnu výše uvedených částí pozemků za účelem výstavby bytového domu v rámci akce „Novostavba bytového domu s komerčními jednotkami </w:t>
      </w:r>
      <w:r w:rsidR="000051B7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ul. Hrázka, k.ú. Pustkovec“</w:t>
      </w:r>
      <w:r w:rsidR="0073215A">
        <w:rPr>
          <w:rFonts w:ascii="Times New Roman" w:hAnsi="Times New Roman"/>
          <w:bCs/>
        </w:rPr>
        <w:t>.</w:t>
      </w:r>
    </w:p>
    <w:p w14:paraId="218771CD" w14:textId="2C13AA66" w:rsidR="0073215A" w:rsidRPr="00924424" w:rsidRDefault="0073215A" w:rsidP="0092442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Pr="00924424">
        <w:rPr>
          <w:rFonts w:ascii="Times New Roman" w:hAnsi="Times New Roman"/>
          <w:b/>
          <w:bCs/>
          <w:sz w:val="24"/>
          <w:szCs w:val="24"/>
          <w:u w:val="single"/>
        </w:rPr>
        <w:t>Stanoviska</w:t>
      </w:r>
    </w:p>
    <w:p w14:paraId="642589CE" w14:textId="3307672D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Zastupitelstvo městského obvodu </w:t>
      </w:r>
      <w:r w:rsidR="00924424">
        <w:rPr>
          <w:rFonts w:ascii="Times New Roman" w:hAnsi="Times New Roman"/>
          <w:b/>
          <w:i/>
        </w:rPr>
        <w:t>Pustkovec</w:t>
      </w:r>
      <w:r>
        <w:rPr>
          <w:rFonts w:ascii="Times New Roman" w:hAnsi="Times New Roman"/>
          <w:i/>
        </w:rPr>
        <w:t xml:space="preserve"> –</w:t>
      </w:r>
      <w:r>
        <w:rPr>
          <w:rFonts w:ascii="Times New Roman" w:hAnsi="Times New Roman"/>
        </w:rPr>
        <w:t xml:space="preserve">vydalo </w:t>
      </w:r>
      <w:r>
        <w:rPr>
          <w:rFonts w:ascii="Times New Roman" w:hAnsi="Times New Roman"/>
          <w:b/>
        </w:rPr>
        <w:t>kladné stanovisko</w:t>
      </w:r>
      <w:r>
        <w:rPr>
          <w:rFonts w:ascii="Times New Roman" w:hAnsi="Times New Roman"/>
        </w:rPr>
        <w:t xml:space="preserve"> k záměru směny část</w:t>
      </w:r>
      <w:r w:rsidR="009F0E45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shora uvedených nemovitých věcí</w:t>
      </w:r>
      <w:r w:rsidR="00880086">
        <w:rPr>
          <w:rFonts w:ascii="Times New Roman" w:hAnsi="Times New Roman"/>
        </w:rPr>
        <w:t xml:space="preserve"> (viz příloha č. 1/4).</w:t>
      </w:r>
      <w:r>
        <w:rPr>
          <w:rFonts w:ascii="Times New Roman" w:hAnsi="Times New Roman"/>
        </w:rPr>
        <w:t xml:space="preserve">  </w:t>
      </w:r>
    </w:p>
    <w:p w14:paraId="0F2496DB" w14:textId="7777777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4BDC0F87" w14:textId="77777777" w:rsidR="007803C7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Odbor územního plánování a stavebního řádu</w:t>
      </w:r>
      <w:r>
        <w:rPr>
          <w:rFonts w:ascii="Times New Roman" w:hAnsi="Times New Roman"/>
        </w:rPr>
        <w:t xml:space="preserve"> – předmě</w:t>
      </w:r>
      <w:r w:rsidR="002123FA">
        <w:rPr>
          <w:rFonts w:ascii="Times New Roman" w:hAnsi="Times New Roman"/>
        </w:rPr>
        <w:t xml:space="preserve">t směny </w:t>
      </w:r>
      <w:r>
        <w:rPr>
          <w:rFonts w:ascii="Times New Roman" w:hAnsi="Times New Roman"/>
        </w:rPr>
        <w:t xml:space="preserve">je součástí plochy se způsobem využití „Bydlení v rodinných domech“. OÚPaSŘ </w:t>
      </w:r>
      <w:r w:rsidR="002123FA">
        <w:rPr>
          <w:rFonts w:ascii="Times New Roman" w:hAnsi="Times New Roman"/>
        </w:rPr>
        <w:t xml:space="preserve">ve svém stanovisku ze dne 10. 5. 2021 doporučil směnu výše uvedených nemovitých věcí realizovat až po doložení konkrétnější podoby plánovaného záměru (např. architektonické studie, </w:t>
      </w:r>
      <w:r w:rsidR="007803C7">
        <w:rPr>
          <w:rFonts w:ascii="Times New Roman" w:hAnsi="Times New Roman"/>
        </w:rPr>
        <w:t xml:space="preserve">dokumentace pro povolení stavebního úřadu apod.). </w:t>
      </w:r>
    </w:p>
    <w:p w14:paraId="05E1CC6F" w14:textId="77777777" w:rsidR="00B063B6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7B3A24E8" w14:textId="3A8EBAC2" w:rsidR="007803C7" w:rsidRDefault="007803C7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 byl na základě žádosti OÚPaSŘ vyzván k doložení dispoziční studie</w:t>
      </w:r>
      <w:r w:rsidR="00B063B6">
        <w:rPr>
          <w:rFonts w:ascii="Times New Roman" w:hAnsi="Times New Roman"/>
        </w:rPr>
        <w:t xml:space="preserve"> (viz příloha č. 1/</w:t>
      </w:r>
      <w:r w:rsidR="00880086">
        <w:rPr>
          <w:rFonts w:ascii="Times New Roman" w:hAnsi="Times New Roman"/>
        </w:rPr>
        <w:t>6</w:t>
      </w:r>
      <w:r w:rsidR="00B063B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14:paraId="44593C27" w14:textId="77777777" w:rsidR="001B0953" w:rsidRDefault="001B095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76CB0D7D" w14:textId="728A728B" w:rsidR="007803C7" w:rsidRDefault="007803C7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 majetkový požádal OÚPaSŘ o aktualizaci stanoviska k dané věci dne 8. 6. 2021.</w:t>
      </w:r>
    </w:p>
    <w:p w14:paraId="0466BE02" w14:textId="77777777" w:rsidR="001B0953" w:rsidRDefault="001B095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0BC1EDF9" w14:textId="3FDD79F1" w:rsidR="0073215A" w:rsidRDefault="007803C7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OÚPaSŘ ve svém stanovisku </w:t>
      </w:r>
      <w:r w:rsidR="001B0953">
        <w:rPr>
          <w:rFonts w:ascii="Times New Roman" w:hAnsi="Times New Roman"/>
        </w:rPr>
        <w:t xml:space="preserve">ze dne 13. 7. 2021 </w:t>
      </w:r>
      <w:r>
        <w:rPr>
          <w:rFonts w:ascii="Times New Roman" w:hAnsi="Times New Roman"/>
        </w:rPr>
        <w:t xml:space="preserve">sděluje, že plocha „Bydlení v rodinných domech“ </w:t>
      </w:r>
      <w:r w:rsidR="001B095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je určena pro bydlení v rodinných domech a v obdobných formách domů nízkopodlažní obytné zástavby. Bytový dům lze v takto vymezené ploše umístit pouze v kategorii „podmíněně přípustné využití“, kdy to, zda stavba této podmínce vyhoví, či nikoliv, bude předmětem posouzení v rámci povolování stavby. </w:t>
      </w:r>
      <w:r w:rsidR="001B0953">
        <w:rPr>
          <w:rFonts w:ascii="Times New Roman" w:hAnsi="Times New Roman"/>
        </w:rPr>
        <w:t xml:space="preserve">Proto do doby řízení, které posoudí splnění podmínky podmíněně přípustné </w:t>
      </w:r>
      <w:r w:rsidR="001B0953">
        <w:rPr>
          <w:rFonts w:ascii="Times New Roman" w:hAnsi="Times New Roman"/>
        </w:rPr>
        <w:lastRenderedPageBreak/>
        <w:t xml:space="preserve">stavby doporučuje s umístěním stavby souhlasit, avšak o směně rozhodnout až ve chvíli, kdy bude potvrzeno, že tato stavba bude stavebním úřadem umístěna. </w:t>
      </w:r>
      <w:r>
        <w:rPr>
          <w:rFonts w:ascii="Times New Roman" w:hAnsi="Times New Roman"/>
        </w:rPr>
        <w:t xml:space="preserve"> </w:t>
      </w:r>
    </w:p>
    <w:p w14:paraId="1487604A" w14:textId="2885BC92" w:rsidR="00B063B6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2D9FF4AC" w14:textId="29F8D148" w:rsidR="00B063B6" w:rsidRPr="00B063B6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Odbor dopravy</w:t>
      </w:r>
      <w:r>
        <w:rPr>
          <w:rFonts w:ascii="Times New Roman" w:hAnsi="Times New Roman"/>
        </w:rPr>
        <w:t xml:space="preserve"> – nemá námitek ke směn</w:t>
      </w:r>
      <w:r w:rsidR="00DB7F2D"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 shora uvedených částí nemovitých věcí, avšak upozorňuje, že se na částech pozemk</w:t>
      </w:r>
      <w:r w:rsidR="00DB7F2D">
        <w:rPr>
          <w:rFonts w:ascii="Times New Roman" w:hAnsi="Times New Roman"/>
        </w:rPr>
        <w:t xml:space="preserve">ů ve vlastnictví statutárního města Ostrava nachází místní komunikace </w:t>
      </w:r>
      <w:r w:rsidR="00CB0DE6">
        <w:rPr>
          <w:rFonts w:ascii="Times New Roman" w:hAnsi="Times New Roman"/>
        </w:rPr>
        <w:br/>
      </w:r>
      <w:r w:rsidR="00DB7F2D">
        <w:rPr>
          <w:rFonts w:ascii="Times New Roman" w:hAnsi="Times New Roman"/>
        </w:rPr>
        <w:t xml:space="preserve">III. třídy 2c – ul. Hrázka a před směnou musí dojít silničním správním úřadem k vyřazení z kategorie místní komunikace. </w:t>
      </w:r>
    </w:p>
    <w:p w14:paraId="5B65FC3C" w14:textId="77777777" w:rsidR="001B0953" w:rsidRDefault="001B095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29D31C1C" w14:textId="426C78D8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investiční, odbor strategického rozvoje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dané věci.</w:t>
      </w:r>
    </w:p>
    <w:p w14:paraId="22EA2FEC" w14:textId="7777777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0D3D2ABB" w14:textId="7777777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Doplňující informace</w:t>
      </w:r>
    </w:p>
    <w:p w14:paraId="3495B884" w14:textId="77777777" w:rsidR="00CB0DE6" w:rsidRDefault="00D61AB0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 směny č. 1</w:t>
      </w:r>
      <w:r w:rsidR="0073215A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e</w:t>
      </w:r>
      <w:r w:rsidR="0073215A">
        <w:rPr>
          <w:rFonts w:ascii="Times New Roman" w:hAnsi="Times New Roman"/>
        </w:rPr>
        <w:t xml:space="preserve"> zatížen</w:t>
      </w:r>
      <w:r>
        <w:rPr>
          <w:rFonts w:ascii="Times New Roman" w:hAnsi="Times New Roman"/>
        </w:rPr>
        <w:t>ý</w:t>
      </w:r>
      <w:r w:rsidR="0073215A">
        <w:rPr>
          <w:rFonts w:ascii="Times New Roman" w:hAnsi="Times New Roman"/>
        </w:rPr>
        <w:t xml:space="preserve"> inženýrskými sítěmi, specifikovanými na listu vlastnictví </w:t>
      </w:r>
      <w:r w:rsidR="0073215A">
        <w:rPr>
          <w:rFonts w:ascii="Times New Roman" w:hAnsi="Times New Roman"/>
        </w:rPr>
        <w:br/>
        <w:t xml:space="preserve">č. </w:t>
      </w:r>
      <w:r>
        <w:rPr>
          <w:rFonts w:ascii="Times New Roman" w:hAnsi="Times New Roman"/>
        </w:rPr>
        <w:t>484</w:t>
      </w:r>
      <w:r w:rsidR="0073215A">
        <w:rPr>
          <w:rFonts w:ascii="Times New Roman" w:hAnsi="Times New Roman"/>
        </w:rPr>
        <w:t xml:space="preserve"> pro k.ú. </w:t>
      </w:r>
      <w:r>
        <w:rPr>
          <w:rFonts w:ascii="Times New Roman" w:hAnsi="Times New Roman"/>
        </w:rPr>
        <w:t>Pustkovec</w:t>
      </w:r>
      <w:r w:rsidR="0073215A">
        <w:rPr>
          <w:rFonts w:ascii="Times New Roman" w:hAnsi="Times New Roman"/>
        </w:rPr>
        <w:t xml:space="preserve">, obec Ostrava. </w:t>
      </w:r>
    </w:p>
    <w:p w14:paraId="7E9D1209" w14:textId="44E8DDE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 se v</w:t>
      </w:r>
      <w:r w:rsidR="00D61AB0">
        <w:rPr>
          <w:rFonts w:ascii="Times New Roman" w:hAnsi="Times New Roman"/>
        </w:rPr>
        <w:t> </w:t>
      </w:r>
      <w:r>
        <w:rPr>
          <w:rFonts w:ascii="Times New Roman" w:hAnsi="Times New Roman"/>
        </w:rPr>
        <w:t>předmět</w:t>
      </w:r>
      <w:r w:rsidR="00D61AB0">
        <w:rPr>
          <w:rFonts w:ascii="Times New Roman" w:hAnsi="Times New Roman"/>
        </w:rPr>
        <w:t xml:space="preserve">u směny č. 1 </w:t>
      </w:r>
      <w:r>
        <w:rPr>
          <w:rFonts w:ascii="Times New Roman" w:hAnsi="Times New Roman"/>
        </w:rPr>
        <w:t>nachází tyto inženýrské sítě:</w:t>
      </w:r>
    </w:p>
    <w:p w14:paraId="6AC9D5C2" w14:textId="10E3D0ED" w:rsidR="0073215A" w:rsidRDefault="0073215A" w:rsidP="0073215A">
      <w:pPr>
        <w:pStyle w:val="mmoradkovani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61AB0">
        <w:rPr>
          <w:rFonts w:ascii="Times New Roman" w:hAnsi="Times New Roman"/>
        </w:rPr>
        <w:t> pozemku parc.č. 4222/1 se nachází</w:t>
      </w:r>
      <w:r>
        <w:rPr>
          <w:rFonts w:ascii="Times New Roman" w:hAnsi="Times New Roman"/>
        </w:rPr>
        <w:t xml:space="preserve"> </w:t>
      </w:r>
      <w:r w:rsidR="00CB0DE6">
        <w:rPr>
          <w:rFonts w:ascii="Times New Roman" w:hAnsi="Times New Roman"/>
        </w:rPr>
        <w:t>kanalizační stoka</w:t>
      </w:r>
      <w:r w:rsidR="00D61AB0">
        <w:rPr>
          <w:rFonts w:ascii="Times New Roman" w:hAnsi="Times New Roman"/>
        </w:rPr>
        <w:t xml:space="preserve"> DN 800 (vlastník statutární město Ostrava, správce Ostravské vodárny a kanalizace a.s.), </w:t>
      </w:r>
      <w:r>
        <w:rPr>
          <w:rFonts w:ascii="Times New Roman" w:hAnsi="Times New Roman"/>
        </w:rPr>
        <w:t xml:space="preserve"> </w:t>
      </w:r>
    </w:p>
    <w:p w14:paraId="1EC4C5EB" w14:textId="0ED2D178" w:rsidR="00CB0DE6" w:rsidRDefault="00CB0DE6" w:rsidP="0073215A">
      <w:pPr>
        <w:pStyle w:val="mmoradkovani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pozemku parc.č. 4223/1 se nachází NTL plynovodní řad (vlastník </w:t>
      </w:r>
      <w:proofErr w:type="spellStart"/>
      <w:r>
        <w:rPr>
          <w:rFonts w:ascii="Times New Roman" w:hAnsi="Times New Roman"/>
        </w:rPr>
        <w:t>GasNet</w:t>
      </w:r>
      <w:proofErr w:type="spellEnd"/>
      <w:r>
        <w:rPr>
          <w:rFonts w:ascii="Times New Roman" w:hAnsi="Times New Roman"/>
        </w:rPr>
        <w:t>, s.r.o.),</w:t>
      </w:r>
    </w:p>
    <w:p w14:paraId="7B39C9F5" w14:textId="256BD30F" w:rsidR="0073215A" w:rsidRDefault="00CB0DE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předmětu směny č. 2 se nachází kanalizační stoka DN 800 (vlastník statutární město Ostrava, správce Ostravské vodárny a kanalizace a.s.).</w:t>
      </w:r>
    </w:p>
    <w:p w14:paraId="7305BFBA" w14:textId="3A6403F6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případě, že zastupitelstvo města rozhodne o záměru směny, bude součástí směnné smlouvy </w:t>
      </w:r>
      <w:r>
        <w:rPr>
          <w:rFonts w:ascii="Times New Roman" w:hAnsi="Times New Roman"/>
        </w:rPr>
        <w:br/>
        <w:t xml:space="preserve">i smlouva o zřízení služebnosti na </w:t>
      </w:r>
      <w:r w:rsidR="00CB0DE6">
        <w:rPr>
          <w:rFonts w:ascii="Times New Roman" w:hAnsi="Times New Roman"/>
        </w:rPr>
        <w:t>kanalizační stoku DN 8000</w:t>
      </w:r>
      <w:r>
        <w:rPr>
          <w:rFonts w:ascii="Times New Roman" w:hAnsi="Times New Roman"/>
        </w:rPr>
        <w:t>.</w:t>
      </w:r>
    </w:p>
    <w:p w14:paraId="3E9928FF" w14:textId="7777777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2C974AEA" w14:textId="77777777" w:rsidR="00CE2736" w:rsidRDefault="00CE2736" w:rsidP="00CE2736">
      <w:pPr>
        <w:pStyle w:val="Zkladntext"/>
        <w:rPr>
          <w:b/>
          <w:bCs/>
          <w:u w:val="single"/>
        </w:rPr>
      </w:pPr>
    </w:p>
    <w:p w14:paraId="4321AB6E" w14:textId="77777777" w:rsidR="00CE2736" w:rsidRPr="00682787" w:rsidRDefault="00CE2736" w:rsidP="00CE2736">
      <w:pPr>
        <w:pStyle w:val="Zkladntext"/>
        <w:rPr>
          <w:b/>
          <w:bCs/>
          <w:u w:val="single"/>
        </w:rPr>
      </w:pPr>
      <w:r w:rsidRPr="00682787">
        <w:rPr>
          <w:b/>
          <w:bCs/>
          <w:u w:val="single"/>
        </w:rPr>
        <w:t>Projednáno v radě města</w:t>
      </w:r>
    </w:p>
    <w:p w14:paraId="69348A21" w14:textId="6A870689" w:rsidR="00CE2736" w:rsidRDefault="00CE2736" w:rsidP="00CE2736">
      <w:pPr>
        <w:pStyle w:val="Zkladntext"/>
        <w:rPr>
          <w:bCs/>
        </w:rPr>
      </w:pPr>
      <w:r w:rsidRPr="00682787">
        <w:rPr>
          <w:bCs/>
        </w:rPr>
        <w:t xml:space="preserve">Rada města dne </w:t>
      </w:r>
      <w:r>
        <w:rPr>
          <w:bCs/>
        </w:rPr>
        <w:t xml:space="preserve">10. 8. </w:t>
      </w:r>
      <w:r w:rsidRPr="00682787">
        <w:rPr>
          <w:bCs/>
        </w:rPr>
        <w:t xml:space="preserve">2021 souhlasila </w:t>
      </w:r>
      <w:r w:rsidRPr="00682787">
        <w:rPr>
          <w:rFonts w:eastAsia="Calibri"/>
          <w:color w:val="000000"/>
        </w:rPr>
        <w:t xml:space="preserve">s návrhem na záměr města </w:t>
      </w:r>
      <w:r>
        <w:rPr>
          <w:bCs/>
        </w:rPr>
        <w:t xml:space="preserve">směnit části předmětných nemovitých věcí. </w:t>
      </w:r>
    </w:p>
    <w:p w14:paraId="73D51D04" w14:textId="1FA405CF" w:rsidR="00CE2736" w:rsidRPr="00A23C49" w:rsidRDefault="00CE2736" w:rsidP="00CE2736">
      <w:pPr>
        <w:spacing w:after="0" w:line="240" w:lineRule="auto"/>
        <w:jc w:val="both"/>
        <w:rPr>
          <w:b/>
          <w:bCs/>
          <w:u w:val="single"/>
        </w:rPr>
      </w:pPr>
    </w:p>
    <w:p w14:paraId="51C7097B" w14:textId="77777777" w:rsidR="00CE2736" w:rsidRPr="00A23C49" w:rsidRDefault="00CE2736" w:rsidP="00CE2736">
      <w:pPr>
        <w:pStyle w:val="Zkladntext"/>
        <w:rPr>
          <w:b/>
          <w:bCs/>
          <w:u w:val="single"/>
        </w:rPr>
      </w:pPr>
      <w:r w:rsidRPr="00A23C49">
        <w:rPr>
          <w:b/>
          <w:bCs/>
          <w:u w:val="single"/>
        </w:rPr>
        <w:t>Upozornění</w:t>
      </w:r>
    </w:p>
    <w:p w14:paraId="5BC3843B" w14:textId="77777777" w:rsidR="00CE2736" w:rsidRPr="00A23C49" w:rsidRDefault="00CE2736" w:rsidP="00CE2736">
      <w:pPr>
        <w:pStyle w:val="Zkladntext"/>
        <w:rPr>
          <w:bCs/>
        </w:rPr>
      </w:pPr>
      <w:r w:rsidRPr="00A23C49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76B4AF63" w14:textId="77777777" w:rsidR="00CE2736" w:rsidRPr="00A23C49" w:rsidRDefault="00CE2736" w:rsidP="00CE2736">
      <w:pPr>
        <w:tabs>
          <w:tab w:val="left" w:pos="0"/>
          <w:tab w:val="num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E2736" w:rsidRPr="00A23C49" w:rsidSect="007321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A684D"/>
    <w:rsid w:val="0015542B"/>
    <w:rsid w:val="001B0953"/>
    <w:rsid w:val="002123FA"/>
    <w:rsid w:val="002124F0"/>
    <w:rsid w:val="00553159"/>
    <w:rsid w:val="005B7A30"/>
    <w:rsid w:val="0073215A"/>
    <w:rsid w:val="007803C7"/>
    <w:rsid w:val="00880086"/>
    <w:rsid w:val="00924424"/>
    <w:rsid w:val="009F0E45"/>
    <w:rsid w:val="00B063B6"/>
    <w:rsid w:val="00B43040"/>
    <w:rsid w:val="00CB0DE6"/>
    <w:rsid w:val="00CE2736"/>
    <w:rsid w:val="00D61AB0"/>
    <w:rsid w:val="00DB7F2D"/>
    <w:rsid w:val="00E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2</cp:revision>
  <dcterms:created xsi:type="dcterms:W3CDTF">2021-08-10T10:45:00Z</dcterms:created>
  <dcterms:modified xsi:type="dcterms:W3CDTF">2021-08-10T10:45:00Z</dcterms:modified>
</cp:coreProperties>
</file>