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E7" w:rsidRDefault="00245CE7" w:rsidP="00245CE7">
      <w:pPr>
        <w:pStyle w:val="mmozprava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Důvodová zpráva:</w:t>
      </w:r>
    </w:p>
    <w:p w:rsidR="00245CE7" w:rsidRDefault="00245CE7" w:rsidP="00245CE7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>K bodu 1) usnesení</w:t>
      </w:r>
    </w:p>
    <w:p w:rsidR="00245CE7" w:rsidRDefault="00245CE7" w:rsidP="00245CE7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Předmět      </w:t>
      </w:r>
    </w:p>
    <w:p w:rsidR="00245CE7" w:rsidRDefault="00245CE7" w:rsidP="00245CE7">
      <w:pPr>
        <w:pStyle w:val="Zkladntext"/>
      </w:pPr>
      <w:r>
        <w:t>Záměr neprodat nemovitou věc v </w:t>
      </w:r>
      <w:proofErr w:type="gramStart"/>
      <w:r>
        <w:t>k.ú.</w:t>
      </w:r>
      <w:proofErr w:type="gramEnd"/>
      <w:r>
        <w:t xml:space="preserve"> Kunčice nad Ostravicí, obec Ostrava, ve vlastnictví statutárního města Ostrava, svěřenou městskému obvodu Slezská Ostrava, a to:</w:t>
      </w:r>
    </w:p>
    <w:p w:rsidR="00245CE7" w:rsidRDefault="00245CE7" w:rsidP="00245CE7">
      <w:pPr>
        <w:pStyle w:val="Zkladntext"/>
        <w:numPr>
          <w:ilvl w:val="0"/>
          <w:numId w:val="1"/>
        </w:numPr>
      </w:pPr>
      <w:r>
        <w:t xml:space="preserve">část pozemku </w:t>
      </w:r>
      <w:proofErr w:type="gramStart"/>
      <w:r>
        <w:t>parc</w:t>
      </w:r>
      <w:proofErr w:type="gramEnd"/>
      <w:r>
        <w:t>.</w:t>
      </w:r>
      <w:proofErr w:type="gramStart"/>
      <w:r>
        <w:t>č.</w:t>
      </w:r>
      <w:proofErr w:type="gramEnd"/>
      <w:r>
        <w:t xml:space="preserve"> 237, orná půda, o výměře 493 m</w:t>
      </w:r>
      <w:r>
        <w:rPr>
          <w:vertAlign w:val="superscript"/>
        </w:rPr>
        <w:t>2</w:t>
      </w:r>
      <w:r>
        <w:t>, která není dosud oddělena geometrickým plánem.</w:t>
      </w:r>
    </w:p>
    <w:p w:rsidR="00245CE7" w:rsidRDefault="00245CE7" w:rsidP="00245CE7">
      <w:pPr>
        <w:pStyle w:val="Zkladntext"/>
      </w:pPr>
    </w:p>
    <w:p w:rsidR="00245CE7" w:rsidRDefault="00245CE7" w:rsidP="00245CE7">
      <w:pPr>
        <w:pStyle w:val="Zkladntext"/>
      </w:pPr>
      <w:r>
        <w:t>Celková výměra pozemku činí 902 m</w:t>
      </w:r>
      <w:r>
        <w:rPr>
          <w:vertAlign w:val="superscript"/>
        </w:rPr>
        <w:t>2</w:t>
      </w:r>
      <w:r>
        <w:t xml:space="preserve">. </w:t>
      </w:r>
    </w:p>
    <w:p w:rsidR="00245CE7" w:rsidRDefault="00245CE7" w:rsidP="00245CE7">
      <w:pPr>
        <w:pStyle w:val="Zkladntext"/>
      </w:pPr>
      <w:r>
        <w:t xml:space="preserve">Předmětný pozemek se nachází u ul. Pinkavova (viz příloha č. 1/1 až 1/2).  </w:t>
      </w:r>
    </w:p>
    <w:p w:rsidR="00245CE7" w:rsidRDefault="00245CE7" w:rsidP="00245CE7">
      <w:pPr>
        <w:pStyle w:val="Zkladntext"/>
      </w:pPr>
    </w:p>
    <w:p w:rsidR="00245CE7" w:rsidRDefault="00245CE7" w:rsidP="00245CE7">
      <w:pPr>
        <w:pStyle w:val="mmoradkovani"/>
        <w:spacing w:line="240" w:lineRule="auto"/>
        <w:ind w:right="202"/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Žadatel</w:t>
      </w:r>
    </w:p>
    <w:p w:rsidR="00245CE7" w:rsidRDefault="003A5C65" w:rsidP="00245CE7">
      <w:pPr>
        <w:pStyle w:val="Zkladntext"/>
      </w:pPr>
      <w:r>
        <w:rPr>
          <w:bCs/>
        </w:rPr>
        <w:t>XXXXXXXXXX</w:t>
      </w:r>
      <w:r w:rsidR="00245CE7">
        <w:rPr>
          <w:bCs/>
        </w:rPr>
        <w:t xml:space="preserve">, bydliště </w:t>
      </w:r>
      <w:r>
        <w:rPr>
          <w:bCs/>
        </w:rPr>
        <w:t>XXXXXXXXXXXX</w:t>
      </w:r>
      <w:r w:rsidR="00245CE7">
        <w:rPr>
          <w:bCs/>
        </w:rPr>
        <w:t xml:space="preserve"> prostřednictvím městského obvodu Slezská Ostrava (viz příloha č. 1/3). </w:t>
      </w:r>
    </w:p>
    <w:p w:rsidR="00245CE7" w:rsidRDefault="00245CE7" w:rsidP="00245CE7">
      <w:pPr>
        <w:pStyle w:val="mmoradkovani"/>
        <w:spacing w:line="240" w:lineRule="auto"/>
        <w:ind w:right="202"/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245CE7" w:rsidRDefault="00245CE7" w:rsidP="00245CE7">
      <w:pPr>
        <w:pStyle w:val="mmoradkovani"/>
        <w:spacing w:line="240" w:lineRule="auto"/>
        <w:ind w:right="202"/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Účel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Rozšíření stávající zahrady u rodinného domu žadatelky. 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</w:p>
    <w:p w:rsidR="00245CE7" w:rsidRDefault="00245CE7" w:rsidP="00245CE7">
      <w:pPr>
        <w:pStyle w:val="mmoradkovani"/>
        <w:spacing w:line="240" w:lineRule="auto"/>
        <w:ind w:right="202"/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Stanoviska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Zastupitelstvo městského obvodu Slezská Ostrava </w:t>
      </w:r>
      <w:r>
        <w:rPr>
          <w:rFonts w:ascii="Times New Roman" w:hAnsi="Times New Roman"/>
          <w:i/>
          <w:szCs w:val="24"/>
        </w:rPr>
        <w:t xml:space="preserve">– </w:t>
      </w:r>
      <w:r>
        <w:rPr>
          <w:rFonts w:ascii="Times New Roman" w:hAnsi="Times New Roman"/>
          <w:szCs w:val="24"/>
        </w:rPr>
        <w:t xml:space="preserve">vydalo </w:t>
      </w:r>
      <w:r>
        <w:rPr>
          <w:rFonts w:ascii="Times New Roman" w:hAnsi="Times New Roman"/>
          <w:b/>
          <w:szCs w:val="24"/>
        </w:rPr>
        <w:t>souhlasné stanovisko</w:t>
      </w:r>
      <w:r>
        <w:rPr>
          <w:rFonts w:ascii="Times New Roman" w:hAnsi="Times New Roman"/>
          <w:szCs w:val="24"/>
        </w:rPr>
        <w:t xml:space="preserve"> k záměru prodeje shora uvedené nemovité věci. </w:t>
      </w:r>
      <w:proofErr w:type="spellStart"/>
      <w:r>
        <w:rPr>
          <w:rFonts w:ascii="Times New Roman" w:hAnsi="Times New Roman"/>
          <w:szCs w:val="24"/>
        </w:rPr>
        <w:t>MOb</w:t>
      </w:r>
      <w:proofErr w:type="spellEnd"/>
      <w:r>
        <w:rPr>
          <w:rFonts w:ascii="Times New Roman" w:hAnsi="Times New Roman"/>
          <w:szCs w:val="24"/>
        </w:rPr>
        <w:t xml:space="preserve"> Slezská Ostrava uvádí, že na zbývající části, která není předmětem záměru prodeje, se nachází kanalizační stoka DN 300, přístřešek zastávky MHD a náhradní výsadba. Dále upozorňuje, že společnosti Ostravské vodárny a kanalizace a.s., plánuje zrušit uvedenou kanalizační stoku DN 300. (viz příloha č. 1/4).  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Odbor územního plánování a stavebního řádu</w:t>
      </w:r>
      <w:r>
        <w:rPr>
          <w:rFonts w:ascii="Times New Roman" w:hAnsi="Times New Roman"/>
          <w:szCs w:val="24"/>
        </w:rPr>
        <w:t xml:space="preserve"> – dotčená část výše uvedeného pozemku </w:t>
      </w:r>
      <w:r>
        <w:rPr>
          <w:rFonts w:ascii="Times New Roman" w:hAnsi="Times New Roman"/>
          <w:szCs w:val="24"/>
        </w:rPr>
        <w:br/>
      </w:r>
      <w:proofErr w:type="spellStart"/>
      <w:r>
        <w:rPr>
          <w:rFonts w:ascii="Times New Roman" w:hAnsi="Times New Roman"/>
          <w:szCs w:val="24"/>
        </w:rPr>
        <w:t>parc</w:t>
      </w:r>
      <w:proofErr w:type="spellEnd"/>
      <w:r>
        <w:rPr>
          <w:rFonts w:ascii="Times New Roman" w:hAnsi="Times New Roman"/>
          <w:szCs w:val="24"/>
        </w:rPr>
        <w:t xml:space="preserve">. č. 237 je součástí plochy se způsobem využití „Bydlení v rodinných domech“.  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 svém stanovisku odbor </w:t>
      </w:r>
      <w:proofErr w:type="spellStart"/>
      <w:r>
        <w:rPr>
          <w:rFonts w:ascii="Times New Roman" w:hAnsi="Times New Roman"/>
          <w:szCs w:val="24"/>
        </w:rPr>
        <w:t>ÚPaSŘ</w:t>
      </w:r>
      <w:proofErr w:type="spellEnd"/>
      <w:r>
        <w:rPr>
          <w:rFonts w:ascii="Times New Roman" w:hAnsi="Times New Roman"/>
          <w:szCs w:val="24"/>
        </w:rPr>
        <w:t xml:space="preserve"> uvádí, že se jedná o pozemek o výměře 902 m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br/>
        <w:t xml:space="preserve">což je výměra pozemku pro rodinný dům. Město má stále méně pozemků vhodných </w:t>
      </w:r>
      <w:r>
        <w:rPr>
          <w:rFonts w:ascii="Times New Roman" w:hAnsi="Times New Roman"/>
          <w:szCs w:val="24"/>
        </w:rPr>
        <w:br/>
        <w:t xml:space="preserve">pro výstavbu rodinných domů, a je tedy na zvážení samosprávy města, zda pozemek vhodný </w:t>
      </w:r>
      <w:r>
        <w:rPr>
          <w:rFonts w:ascii="Times New Roman" w:hAnsi="Times New Roman"/>
          <w:szCs w:val="24"/>
        </w:rPr>
        <w:br/>
        <w:t xml:space="preserve">pro výstavbu rodinného domu prodá pro využití zahrady. Dále odbor </w:t>
      </w:r>
      <w:proofErr w:type="spellStart"/>
      <w:r>
        <w:rPr>
          <w:rFonts w:ascii="Times New Roman" w:hAnsi="Times New Roman"/>
          <w:szCs w:val="24"/>
        </w:rPr>
        <w:t>ÚPaSŘ</w:t>
      </w:r>
      <w:proofErr w:type="spellEnd"/>
      <w:r>
        <w:rPr>
          <w:rFonts w:ascii="Times New Roman" w:hAnsi="Times New Roman"/>
          <w:szCs w:val="24"/>
        </w:rPr>
        <w:t xml:space="preserve"> doporučuje realizovat prodej předmětné části až po dořešení plánované investiční stavby „Kanalizace Kunčice a Kunčičky – 2. část“, kdy je zde plánováno zrušit stávající stoku, poté bude </w:t>
      </w:r>
      <w:r>
        <w:rPr>
          <w:rFonts w:ascii="Times New Roman" w:hAnsi="Times New Roman"/>
          <w:szCs w:val="24"/>
        </w:rPr>
        <w:br/>
        <w:t xml:space="preserve">pro potencionální výstavbu využitelná výrazně větší část pozemku. 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 ohledem na výše uvedené, odbor </w:t>
      </w:r>
      <w:proofErr w:type="spellStart"/>
      <w:r>
        <w:rPr>
          <w:rFonts w:ascii="Times New Roman" w:hAnsi="Times New Roman"/>
          <w:b/>
          <w:szCs w:val="24"/>
        </w:rPr>
        <w:t>ÚPaSŘ</w:t>
      </w:r>
      <w:proofErr w:type="spellEnd"/>
      <w:r>
        <w:rPr>
          <w:rFonts w:ascii="Times New Roman" w:hAnsi="Times New Roman"/>
          <w:szCs w:val="24"/>
        </w:rPr>
        <w:t xml:space="preserve"> prodej části tohoto pozemku </w:t>
      </w:r>
      <w:r>
        <w:rPr>
          <w:rFonts w:ascii="Times New Roman" w:hAnsi="Times New Roman"/>
          <w:b/>
          <w:szCs w:val="24"/>
        </w:rPr>
        <w:t>nedoporučuje</w:t>
      </w:r>
      <w:r>
        <w:rPr>
          <w:rFonts w:ascii="Times New Roman" w:hAnsi="Times New Roman"/>
          <w:szCs w:val="24"/>
        </w:rPr>
        <w:t xml:space="preserve">. 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b/>
          <w:i/>
          <w:szCs w:val="24"/>
        </w:rPr>
      </w:pP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Odbor investiční – </w:t>
      </w:r>
      <w:r>
        <w:rPr>
          <w:rFonts w:ascii="Times New Roman" w:hAnsi="Times New Roman"/>
          <w:szCs w:val="24"/>
        </w:rPr>
        <w:t xml:space="preserve">sděluje, že </w:t>
      </w:r>
      <w:r>
        <w:rPr>
          <w:rFonts w:ascii="Times New Roman" w:hAnsi="Times New Roman"/>
          <w:b/>
          <w:szCs w:val="24"/>
        </w:rPr>
        <w:t>nemá námitky</w:t>
      </w:r>
      <w:r>
        <w:rPr>
          <w:rFonts w:ascii="Times New Roman" w:hAnsi="Times New Roman"/>
          <w:szCs w:val="24"/>
        </w:rPr>
        <w:t xml:space="preserve"> k prodeji výše uvedené části pozemku parc.č. 237, dále ve svém stanovisku uvádí, že v dané lokalitě ul. Pinkavova, je odborem investičním připravována investiční akce s názvem „ Rekonstrukce VO Škrobálkova – Římanova“. V současné době není možné říci, zda a v jakém rozsahu bude předmětná část výše uvedeného pozemku dotčena stavbou, spočívající v umístění kabelového vedení či umístěním stožáru veřejného osvětlení.  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b/>
          <w:i/>
          <w:szCs w:val="24"/>
        </w:rPr>
      </w:pP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Ostravské vodárny a kanalizace a.s. – </w:t>
      </w:r>
      <w:r>
        <w:rPr>
          <w:rFonts w:ascii="Times New Roman" w:hAnsi="Times New Roman"/>
          <w:szCs w:val="24"/>
        </w:rPr>
        <w:t xml:space="preserve">ve svém stanovisku uvádí, že je na předmětném pozemku plánována stavba „Kanalizace Kunčice a Kunčičky – 2. část“. S ohledem na tuto stavbu, v současné době, </w:t>
      </w:r>
      <w:r>
        <w:rPr>
          <w:rFonts w:ascii="Times New Roman" w:hAnsi="Times New Roman"/>
          <w:b/>
          <w:szCs w:val="24"/>
        </w:rPr>
        <w:t xml:space="preserve">nesouhlasí </w:t>
      </w:r>
      <w:r>
        <w:rPr>
          <w:rFonts w:ascii="Times New Roman" w:hAnsi="Times New Roman"/>
          <w:szCs w:val="24"/>
        </w:rPr>
        <w:t>s prodejem předmětné části pozemku.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b/>
          <w:i/>
          <w:szCs w:val="24"/>
        </w:rPr>
      </w:pP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Odbor strategického rozvoje, odbor dopravy </w:t>
      </w:r>
      <w:r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b/>
          <w:szCs w:val="24"/>
        </w:rPr>
        <w:t>nemají námitek</w:t>
      </w:r>
      <w:r>
        <w:rPr>
          <w:rFonts w:ascii="Times New Roman" w:hAnsi="Times New Roman"/>
          <w:szCs w:val="24"/>
        </w:rPr>
        <w:t xml:space="preserve"> k prodeji shora uvedené části nemovité věci. </w:t>
      </w:r>
    </w:p>
    <w:p w:rsidR="00245CE7" w:rsidRDefault="00245CE7" w:rsidP="00245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 xml:space="preserve">Inženýrské sítě </w:t>
      </w:r>
    </w:p>
    <w:p w:rsidR="00245CE7" w:rsidRDefault="00245CE7" w:rsidP="00245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pozemku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237 se nenacházejí žádné inženýrské sítě. </w:t>
      </w:r>
    </w:p>
    <w:p w:rsidR="00245CE7" w:rsidRDefault="00245CE7" w:rsidP="00245CE7">
      <w:pPr>
        <w:pStyle w:val="Zkladntext"/>
        <w:jc w:val="left"/>
        <w:rPr>
          <w:b/>
          <w:bCs/>
          <w:u w:val="single"/>
        </w:rPr>
      </w:pPr>
    </w:p>
    <w:p w:rsidR="00245CE7" w:rsidRDefault="00245CE7" w:rsidP="00245CE7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>Projednáno v radě města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Rada města dne 15. 12. 2020 nesouhla</w:t>
      </w:r>
      <w:r w:rsidR="005421C1">
        <w:rPr>
          <w:rFonts w:ascii="Times New Roman" w:hAnsi="Times New Roman"/>
          <w:szCs w:val="24"/>
        </w:rPr>
        <w:t xml:space="preserve">sila s návrhem na záměr města </w:t>
      </w:r>
      <w:r>
        <w:rPr>
          <w:rFonts w:ascii="Times New Roman" w:hAnsi="Times New Roman"/>
          <w:szCs w:val="24"/>
        </w:rPr>
        <w:t>prodat shora uvedenou část nemovité věci.</w:t>
      </w:r>
    </w:p>
    <w:p w:rsidR="00245CE7" w:rsidRDefault="00245CE7" w:rsidP="00245CE7">
      <w:pPr>
        <w:pStyle w:val="Zkladntext"/>
        <w:rPr>
          <w:bCs/>
        </w:rPr>
      </w:pPr>
    </w:p>
    <w:p w:rsidR="00245CE7" w:rsidRDefault="00245CE7" w:rsidP="00245CE7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 xml:space="preserve">Upozornění </w:t>
      </w:r>
    </w:p>
    <w:p w:rsidR="00245CE7" w:rsidRDefault="00245CE7" w:rsidP="00245CE7">
      <w:pPr>
        <w:pStyle w:val="Zkladntext"/>
        <w:rPr>
          <w:bCs/>
        </w:rPr>
      </w:pPr>
      <w:r>
        <w:rPr>
          <w:bCs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 </w:t>
      </w:r>
    </w:p>
    <w:p w:rsidR="00245CE7" w:rsidRDefault="00245CE7" w:rsidP="00245CE7">
      <w:pPr>
        <w:pStyle w:val="Zkladntext"/>
        <w:rPr>
          <w:bCs/>
        </w:rPr>
      </w:pPr>
    </w:p>
    <w:p w:rsidR="00245CE7" w:rsidRDefault="00245CE7" w:rsidP="00245CE7">
      <w:pPr>
        <w:pStyle w:val="Zkladntext"/>
        <w:jc w:val="left"/>
        <w:rPr>
          <w:b/>
          <w:bCs/>
          <w:u w:val="single"/>
        </w:rPr>
      </w:pPr>
    </w:p>
    <w:p w:rsidR="00245CE7" w:rsidRDefault="00245CE7" w:rsidP="00245CE7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>K bodu 2) usnesení</w:t>
      </w:r>
    </w:p>
    <w:p w:rsidR="00245CE7" w:rsidRDefault="00245CE7" w:rsidP="00245CE7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Předmět      </w:t>
      </w:r>
    </w:p>
    <w:p w:rsidR="00245CE7" w:rsidRDefault="00245CE7" w:rsidP="00245CE7">
      <w:pPr>
        <w:pStyle w:val="Zkladntext"/>
      </w:pPr>
      <w:r>
        <w:t>Záměr neprodat nemovité věci v </w:t>
      </w:r>
      <w:proofErr w:type="gramStart"/>
      <w:r>
        <w:t>k.ú.</w:t>
      </w:r>
      <w:proofErr w:type="gramEnd"/>
      <w:r>
        <w:t xml:space="preserve"> Slezská Ostrava, obec Ostrava, ve vlastnictví statutárního města Ostrava, svěřenou městskému obvodu Slezská Ostrava, a to:</w:t>
      </w:r>
    </w:p>
    <w:p w:rsidR="00245CE7" w:rsidRDefault="00245CE7" w:rsidP="00245CE7">
      <w:pPr>
        <w:pStyle w:val="Zkladntext"/>
        <w:numPr>
          <w:ilvl w:val="0"/>
          <w:numId w:val="1"/>
        </w:numPr>
      </w:pPr>
      <w:r>
        <w:t xml:space="preserve">část pozemku parc.č. 913, </w:t>
      </w:r>
      <w:proofErr w:type="spellStart"/>
      <w:r>
        <w:t>ost</w:t>
      </w:r>
      <w:proofErr w:type="spellEnd"/>
      <w:r>
        <w:t xml:space="preserve">. </w:t>
      </w:r>
      <w:proofErr w:type="gramStart"/>
      <w:r>
        <w:t>plocha</w:t>
      </w:r>
      <w:proofErr w:type="gramEnd"/>
      <w:r>
        <w:t>, jiná plocha, o výměře cca 16 m</w:t>
      </w:r>
      <w:r>
        <w:rPr>
          <w:vertAlign w:val="superscript"/>
        </w:rPr>
        <w:t>2</w:t>
      </w:r>
      <w:r>
        <w:t>, která není dosud oddělena geometrickým plánem.</w:t>
      </w:r>
    </w:p>
    <w:p w:rsidR="00245CE7" w:rsidRDefault="00245CE7" w:rsidP="00245CE7">
      <w:pPr>
        <w:pStyle w:val="Zkladntext"/>
      </w:pPr>
    </w:p>
    <w:p w:rsidR="00245CE7" w:rsidRDefault="00245CE7" w:rsidP="00245CE7">
      <w:pPr>
        <w:pStyle w:val="Zkladntext"/>
      </w:pPr>
      <w:r>
        <w:t xml:space="preserve">Předmětná část pozemku se nachází u ulice Na Františku (viz příloha č. 2/1 a 2/2). </w:t>
      </w:r>
    </w:p>
    <w:p w:rsidR="00245CE7" w:rsidRDefault="00245CE7" w:rsidP="00245CE7">
      <w:pPr>
        <w:pStyle w:val="Zkladntext"/>
      </w:pPr>
    </w:p>
    <w:p w:rsidR="00245CE7" w:rsidRDefault="00245CE7" w:rsidP="00245CE7">
      <w:pPr>
        <w:pStyle w:val="mmoradkovani"/>
        <w:spacing w:line="240" w:lineRule="auto"/>
        <w:ind w:right="202"/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Žadatel</w:t>
      </w:r>
    </w:p>
    <w:p w:rsidR="00245CE7" w:rsidRDefault="003A5C65" w:rsidP="00245CE7">
      <w:pPr>
        <w:pStyle w:val="Zkladntext"/>
      </w:pPr>
      <w:r>
        <w:rPr>
          <w:bCs/>
        </w:rPr>
        <w:t>XXXXXXXXXXXXX</w:t>
      </w:r>
      <w:r w:rsidR="00245CE7">
        <w:rPr>
          <w:bCs/>
        </w:rPr>
        <w:t xml:space="preserve">, bydliště </w:t>
      </w:r>
      <w:r>
        <w:rPr>
          <w:bCs/>
        </w:rPr>
        <w:t>XXXXXXXXXXXXXXXXXXXX</w:t>
      </w:r>
      <w:r w:rsidR="00245CE7">
        <w:rPr>
          <w:bCs/>
        </w:rPr>
        <w:t xml:space="preserve"> (viz příloha č. 2/4). </w:t>
      </w:r>
    </w:p>
    <w:p w:rsidR="00245CE7" w:rsidRDefault="00245CE7" w:rsidP="00245CE7">
      <w:pPr>
        <w:pStyle w:val="mmoradkovani"/>
        <w:spacing w:line="240" w:lineRule="auto"/>
        <w:ind w:right="202"/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245CE7" w:rsidRDefault="00245CE7" w:rsidP="00245CE7">
      <w:pPr>
        <w:pStyle w:val="mmoradkovani"/>
        <w:spacing w:line="240" w:lineRule="auto"/>
        <w:ind w:right="202"/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Účel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Prodloužení terasy k bytové jednotce, ve vlastnictví žadatele a ke zkrášlení přístupu květinovou výzdobou k bytové jednotce žadatele. </w:t>
      </w:r>
    </w:p>
    <w:p w:rsidR="00245CE7" w:rsidRDefault="00245CE7" w:rsidP="00245CE7">
      <w:pPr>
        <w:pStyle w:val="mmoradkovani"/>
        <w:spacing w:line="240" w:lineRule="auto"/>
        <w:ind w:right="202"/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245CE7" w:rsidRDefault="00245CE7" w:rsidP="00245CE7">
      <w:pPr>
        <w:pStyle w:val="mmoradkovani"/>
        <w:spacing w:line="240" w:lineRule="auto"/>
        <w:ind w:right="202"/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Stanoviska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Zastupitelstvo městského obvodu Slezská Ostrava </w:t>
      </w:r>
      <w:r>
        <w:rPr>
          <w:rFonts w:ascii="Times New Roman" w:hAnsi="Times New Roman"/>
          <w:i/>
          <w:szCs w:val="24"/>
        </w:rPr>
        <w:t xml:space="preserve">– </w:t>
      </w:r>
      <w:r>
        <w:rPr>
          <w:rFonts w:ascii="Times New Roman" w:hAnsi="Times New Roman"/>
          <w:szCs w:val="24"/>
        </w:rPr>
        <w:t xml:space="preserve">vydalo </w:t>
      </w:r>
      <w:r>
        <w:rPr>
          <w:rFonts w:ascii="Times New Roman" w:hAnsi="Times New Roman"/>
          <w:b/>
          <w:szCs w:val="24"/>
        </w:rPr>
        <w:t>souhlasné stanovisko</w:t>
      </w:r>
      <w:r>
        <w:rPr>
          <w:rFonts w:ascii="Times New Roman" w:hAnsi="Times New Roman"/>
          <w:szCs w:val="24"/>
        </w:rPr>
        <w:t xml:space="preserve"> k záměru prodeje shora uvedené části nemovité věci (viz příloha č. 2/3).  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Odbor územního plánování a stavebního řádu</w:t>
      </w:r>
      <w:r>
        <w:rPr>
          <w:rFonts w:ascii="Times New Roman" w:hAnsi="Times New Roman"/>
          <w:szCs w:val="24"/>
        </w:rPr>
        <w:t xml:space="preserve"> – předmětný pozemek je součástí plochy </w:t>
      </w:r>
      <w:r>
        <w:rPr>
          <w:rFonts w:ascii="Times New Roman" w:hAnsi="Times New Roman"/>
          <w:szCs w:val="24"/>
        </w:rPr>
        <w:br/>
        <w:t xml:space="preserve">se způsobem využití „Bydlení v bytových domech“. Odbor </w:t>
      </w:r>
      <w:proofErr w:type="spellStart"/>
      <w:r>
        <w:rPr>
          <w:rFonts w:ascii="Times New Roman" w:hAnsi="Times New Roman"/>
          <w:szCs w:val="24"/>
        </w:rPr>
        <w:t>ÚPaSŘ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prodej předmětné části pozemku </w:t>
      </w:r>
      <w:r>
        <w:rPr>
          <w:rFonts w:ascii="Times New Roman" w:hAnsi="Times New Roman"/>
          <w:b/>
          <w:szCs w:val="24"/>
        </w:rPr>
        <w:t xml:space="preserve">nedoporučuje, </w:t>
      </w:r>
      <w:r>
        <w:rPr>
          <w:rFonts w:ascii="Times New Roman" w:hAnsi="Times New Roman"/>
          <w:szCs w:val="24"/>
        </w:rPr>
        <w:t xml:space="preserve">neboť předmětná část má návaznost na bytové domy, které jsou součástí veřejného prostoru sídlišť či obdobných obytných souborů bytových domů. Odbor </w:t>
      </w:r>
      <w:proofErr w:type="spellStart"/>
      <w:r>
        <w:rPr>
          <w:rFonts w:ascii="Times New Roman" w:hAnsi="Times New Roman"/>
          <w:szCs w:val="24"/>
        </w:rPr>
        <w:t>ÚPaSŘ</w:t>
      </w:r>
      <w:proofErr w:type="spellEnd"/>
      <w:r>
        <w:rPr>
          <w:rFonts w:ascii="Times New Roman" w:hAnsi="Times New Roman"/>
          <w:szCs w:val="24"/>
        </w:rPr>
        <w:t xml:space="preserve"> dále uvádí, že plochy navazující na bytové domy plní jednak funkci veřejného prostranství, kde se rovněž sleduje estetické hledisko veřejného prostoru, spočívající v zachování jednoty parteru bytových domů v rámci obytných souborů. Dále je nutné zpřístupnění parteru bytových domů v případě stavebních úprav (rekonstrukcí) a vnější údržby bytových domů, z důvodu bezpečnostních (zásahy složek IZS) apod.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Odbor dopravy – nemá námitek </w:t>
      </w:r>
      <w:r>
        <w:rPr>
          <w:rFonts w:ascii="Times New Roman" w:hAnsi="Times New Roman"/>
          <w:szCs w:val="24"/>
        </w:rPr>
        <w:t xml:space="preserve">k prodeji předmětné části pozemku, ale upozorňuje, </w:t>
      </w:r>
      <w:r>
        <w:rPr>
          <w:rFonts w:ascii="Times New Roman" w:hAnsi="Times New Roman"/>
          <w:szCs w:val="24"/>
        </w:rPr>
        <w:br/>
        <w:t xml:space="preserve">že se na pozemku nachází stavba chodníku, která je součástí přilehlé místní komunikace III. třídy </w:t>
      </w:r>
      <w:r>
        <w:rPr>
          <w:rFonts w:ascii="Times New Roman" w:hAnsi="Times New Roman"/>
          <w:szCs w:val="24"/>
        </w:rPr>
        <w:br/>
        <w:t xml:space="preserve">a dále uvádí, že je nutné, před případným prodejem, předmětnou část pozemku vyřadit z kategorie místní komunikace příslušným silničním správním úřadem. 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lastRenderedPageBreak/>
        <w:t xml:space="preserve">Odbor investiční, odbor strategického rozvoje </w:t>
      </w:r>
      <w:r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b/>
          <w:szCs w:val="24"/>
        </w:rPr>
        <w:t>nemají námitek</w:t>
      </w:r>
      <w:r>
        <w:rPr>
          <w:rFonts w:ascii="Times New Roman" w:hAnsi="Times New Roman"/>
          <w:szCs w:val="24"/>
        </w:rPr>
        <w:t xml:space="preserve"> k prodeji shora uvedené části nemovité věci. </w:t>
      </w:r>
    </w:p>
    <w:p w:rsidR="003A5C65" w:rsidRDefault="003A5C65" w:rsidP="00245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45CE7" w:rsidRDefault="00245CE7" w:rsidP="00245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Inženýrské sítě </w:t>
      </w:r>
    </w:p>
    <w:p w:rsidR="00245CE7" w:rsidRDefault="00245CE7" w:rsidP="00245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pozemku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913 se nenacházejí žádné inženýrské sítě. </w:t>
      </w:r>
    </w:p>
    <w:p w:rsidR="00245CE7" w:rsidRDefault="00245CE7" w:rsidP="00245CE7">
      <w:pPr>
        <w:pStyle w:val="Zkladntext"/>
        <w:rPr>
          <w:bCs/>
        </w:rPr>
      </w:pPr>
    </w:p>
    <w:p w:rsidR="00245CE7" w:rsidRDefault="00245CE7" w:rsidP="00245CE7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>Projednáno v radě města</w:t>
      </w:r>
    </w:p>
    <w:p w:rsidR="00245CE7" w:rsidRDefault="00245CE7" w:rsidP="00245CE7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Rada města dne 15. 1</w:t>
      </w:r>
      <w:r w:rsidR="00AD289B">
        <w:rPr>
          <w:rFonts w:ascii="Times New Roman" w:hAnsi="Times New Roman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Cs w:val="24"/>
        </w:rPr>
        <w:t>. 2020 nesouhla</w:t>
      </w:r>
      <w:r w:rsidR="005421C1">
        <w:rPr>
          <w:rFonts w:ascii="Times New Roman" w:hAnsi="Times New Roman"/>
          <w:szCs w:val="24"/>
        </w:rPr>
        <w:t xml:space="preserve">sila s návrhem na záměr města </w:t>
      </w:r>
      <w:r>
        <w:rPr>
          <w:rFonts w:ascii="Times New Roman" w:hAnsi="Times New Roman"/>
          <w:szCs w:val="24"/>
        </w:rPr>
        <w:t>prodat shora uvedenou nemovitou věc.</w:t>
      </w:r>
    </w:p>
    <w:p w:rsidR="00245CE7" w:rsidRDefault="00245CE7" w:rsidP="00245CE7">
      <w:pPr>
        <w:pStyle w:val="Zkladntext"/>
        <w:rPr>
          <w:bCs/>
        </w:rPr>
      </w:pPr>
    </w:p>
    <w:p w:rsidR="00245CE7" w:rsidRDefault="00245CE7" w:rsidP="00245CE7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 xml:space="preserve">Upozornění </w:t>
      </w:r>
    </w:p>
    <w:p w:rsidR="00245CE7" w:rsidRDefault="00245CE7" w:rsidP="00245CE7">
      <w:pPr>
        <w:pStyle w:val="Zkladntext"/>
        <w:rPr>
          <w:bCs/>
        </w:rPr>
      </w:pPr>
      <w:r>
        <w:rPr>
          <w:bCs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 </w:t>
      </w:r>
    </w:p>
    <w:p w:rsidR="00245CE7" w:rsidRDefault="00245CE7" w:rsidP="00245CE7">
      <w:pPr>
        <w:pStyle w:val="Zkladntext"/>
        <w:rPr>
          <w:bCs/>
        </w:rPr>
      </w:pPr>
    </w:p>
    <w:p w:rsidR="00245CE7" w:rsidRDefault="00245CE7" w:rsidP="00245CE7">
      <w:pPr>
        <w:pStyle w:val="Zkladntext"/>
        <w:rPr>
          <w:bCs/>
        </w:rPr>
      </w:pPr>
    </w:p>
    <w:p w:rsidR="00245CE7" w:rsidRDefault="00245CE7" w:rsidP="00245CE7">
      <w:pPr>
        <w:pStyle w:val="Zkladntext"/>
        <w:jc w:val="left"/>
        <w:rPr>
          <w:b/>
          <w:bCs/>
          <w:u w:val="single"/>
        </w:rPr>
      </w:pPr>
    </w:p>
    <w:p w:rsidR="00544F0A" w:rsidRDefault="00544F0A"/>
    <w:sectPr w:rsidR="00544F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23" w:rsidRDefault="004E5923" w:rsidP="00245CE7">
      <w:pPr>
        <w:spacing w:after="0" w:line="240" w:lineRule="auto"/>
      </w:pPr>
      <w:r>
        <w:separator/>
      </w:r>
    </w:p>
  </w:endnote>
  <w:endnote w:type="continuationSeparator" w:id="0">
    <w:p w:rsidR="004E5923" w:rsidRDefault="004E5923" w:rsidP="0024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687731"/>
      <w:docPartObj>
        <w:docPartGallery w:val="Page Numbers (Bottom of Page)"/>
        <w:docPartUnique/>
      </w:docPartObj>
    </w:sdtPr>
    <w:sdtEndPr/>
    <w:sdtContent>
      <w:p w:rsidR="00245CE7" w:rsidRDefault="00245C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89B">
          <w:rPr>
            <w:noProof/>
          </w:rPr>
          <w:t>3</w:t>
        </w:r>
        <w:r>
          <w:fldChar w:fldCharType="end"/>
        </w:r>
      </w:p>
    </w:sdtContent>
  </w:sdt>
  <w:p w:rsidR="00245CE7" w:rsidRDefault="00245C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23" w:rsidRDefault="004E5923" w:rsidP="00245CE7">
      <w:pPr>
        <w:spacing w:after="0" w:line="240" w:lineRule="auto"/>
      </w:pPr>
      <w:r>
        <w:separator/>
      </w:r>
    </w:p>
  </w:footnote>
  <w:footnote w:type="continuationSeparator" w:id="0">
    <w:p w:rsidR="004E5923" w:rsidRDefault="004E5923" w:rsidP="00245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8404D"/>
    <w:multiLevelType w:val="hybridMultilevel"/>
    <w:tmpl w:val="E6F03C82"/>
    <w:lvl w:ilvl="0" w:tplc="DA56D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E7"/>
    <w:rsid w:val="0014323A"/>
    <w:rsid w:val="001853EB"/>
    <w:rsid w:val="00245CE7"/>
    <w:rsid w:val="003A5C65"/>
    <w:rsid w:val="003F254F"/>
    <w:rsid w:val="004E5923"/>
    <w:rsid w:val="005421C1"/>
    <w:rsid w:val="00544F0A"/>
    <w:rsid w:val="006472C2"/>
    <w:rsid w:val="008728AC"/>
    <w:rsid w:val="00AD289B"/>
    <w:rsid w:val="00D7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45C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45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moradkovani">
    <w:name w:val="_mmo_radkovani"/>
    <w:basedOn w:val="Normln"/>
    <w:rsid w:val="00245CE7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mmozprava">
    <w:name w:val="_mmo_zprava"/>
    <w:next w:val="mmoradkovani"/>
    <w:rsid w:val="00245CE7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5CE7"/>
  </w:style>
  <w:style w:type="paragraph" w:styleId="Zpat">
    <w:name w:val="footer"/>
    <w:basedOn w:val="Normln"/>
    <w:link w:val="ZpatChar"/>
    <w:uiPriority w:val="99"/>
    <w:unhideWhenUsed/>
    <w:rsid w:val="0024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5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45C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45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moradkovani">
    <w:name w:val="_mmo_radkovani"/>
    <w:basedOn w:val="Normln"/>
    <w:rsid w:val="00245CE7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mmozprava">
    <w:name w:val="_mmo_zprava"/>
    <w:next w:val="mmoradkovani"/>
    <w:rsid w:val="00245CE7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5CE7"/>
  </w:style>
  <w:style w:type="paragraph" w:styleId="Zpat">
    <w:name w:val="footer"/>
    <w:basedOn w:val="Normln"/>
    <w:link w:val="ZpatChar"/>
    <w:uiPriority w:val="99"/>
    <w:unhideWhenUsed/>
    <w:rsid w:val="0024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Rehová Plačková Ivana</dc:creator>
  <cp:lastModifiedBy>Rehová Plačková Ivana</cp:lastModifiedBy>
  <cp:revision>3</cp:revision>
  <dcterms:created xsi:type="dcterms:W3CDTF">2021-01-13T14:01:00Z</dcterms:created>
  <dcterms:modified xsi:type="dcterms:W3CDTF">2021-01-13T14:02:00Z</dcterms:modified>
</cp:coreProperties>
</file>