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50" w:rsidRDefault="00DF4AB7">
      <w:pPr>
        <w:jc w:val="both"/>
        <w:rPr>
          <w:rFonts w:asciiTheme="minorHAnsi" w:hAnsiTheme="minorHAnsi" w:cs="Aharoni"/>
          <w:b/>
          <w:bCs/>
          <w:sz w:val="44"/>
          <w:szCs w:val="44"/>
          <w:u w:val="single"/>
        </w:rPr>
      </w:pPr>
      <w:r w:rsidRPr="008262CC">
        <w:rPr>
          <w:rFonts w:asciiTheme="minorHAnsi" w:hAnsiTheme="minorHAnsi" w:cs="Aharoni"/>
          <w:b/>
          <w:bCs/>
          <w:sz w:val="44"/>
          <w:szCs w:val="44"/>
          <w:u w:val="single"/>
        </w:rPr>
        <w:t>Důvodová zpráva</w:t>
      </w:r>
      <w:r w:rsidR="00F32650" w:rsidRPr="008262CC">
        <w:rPr>
          <w:rFonts w:asciiTheme="minorHAnsi" w:hAnsiTheme="minorHAnsi" w:cs="Aharoni"/>
          <w:b/>
          <w:bCs/>
          <w:sz w:val="44"/>
          <w:szCs w:val="44"/>
          <w:u w:val="single"/>
        </w:rPr>
        <w:t>:</w:t>
      </w:r>
    </w:p>
    <w:p w:rsidR="007D072D" w:rsidRPr="008262CC" w:rsidRDefault="007D072D">
      <w:pPr>
        <w:jc w:val="both"/>
        <w:rPr>
          <w:rFonts w:asciiTheme="minorHAnsi" w:hAnsiTheme="minorHAnsi" w:cs="Aharoni"/>
          <w:b/>
          <w:bCs/>
          <w:sz w:val="44"/>
          <w:szCs w:val="44"/>
          <w:u w:val="single"/>
        </w:rPr>
      </w:pPr>
    </w:p>
    <w:p w:rsidR="00BB216B" w:rsidRPr="008262CC" w:rsidRDefault="00BB216B">
      <w:pPr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7E1812" w:rsidRPr="008262CC" w:rsidRDefault="00C34EFC" w:rsidP="008F7350">
      <w:pPr>
        <w:jc w:val="both"/>
        <w:rPr>
          <w:rFonts w:asciiTheme="minorHAnsi" w:hAnsiTheme="minorHAnsi" w:cs="Arial"/>
          <w:sz w:val="20"/>
          <w:szCs w:val="20"/>
        </w:rPr>
      </w:pPr>
      <w:r w:rsidRPr="008262CC">
        <w:rPr>
          <w:rFonts w:asciiTheme="minorHAnsi" w:hAnsiTheme="minorHAnsi" w:cs="Arial"/>
          <w:sz w:val="20"/>
          <w:szCs w:val="20"/>
        </w:rPr>
        <w:t xml:space="preserve">Na základě rozhodnutí rady města č. </w:t>
      </w:r>
      <w:r w:rsidR="00332439">
        <w:rPr>
          <w:rFonts w:asciiTheme="minorHAnsi" w:hAnsiTheme="minorHAnsi" w:cs="Arial"/>
          <w:sz w:val="20"/>
          <w:szCs w:val="20"/>
        </w:rPr>
        <w:t>03251/RM1822/48</w:t>
      </w:r>
      <w:r w:rsidRPr="00CA1682">
        <w:rPr>
          <w:rFonts w:asciiTheme="minorHAnsi" w:hAnsiTheme="minorHAnsi" w:cs="Arial"/>
          <w:sz w:val="20"/>
          <w:szCs w:val="20"/>
        </w:rPr>
        <w:t xml:space="preserve"> ze dne </w:t>
      </w:r>
      <w:r w:rsidR="00332439">
        <w:rPr>
          <w:rFonts w:asciiTheme="minorHAnsi" w:hAnsiTheme="minorHAnsi" w:cs="Arial"/>
          <w:sz w:val="20"/>
          <w:szCs w:val="20"/>
        </w:rPr>
        <w:t>18. 2. 2020</w:t>
      </w:r>
      <w:r w:rsidRPr="00CA1682">
        <w:rPr>
          <w:rFonts w:asciiTheme="minorHAnsi" w:hAnsiTheme="minorHAnsi" w:cs="Arial"/>
          <w:sz w:val="20"/>
          <w:szCs w:val="20"/>
        </w:rPr>
        <w:t xml:space="preserve"> </w:t>
      </w:r>
      <w:r w:rsidRPr="008262CC">
        <w:rPr>
          <w:rFonts w:asciiTheme="minorHAnsi" w:hAnsiTheme="minorHAnsi" w:cs="Arial"/>
          <w:sz w:val="20"/>
          <w:szCs w:val="20"/>
        </w:rPr>
        <w:t xml:space="preserve">a zastupitelstva města </w:t>
      </w:r>
      <w:r w:rsidR="008F7350">
        <w:rPr>
          <w:rFonts w:asciiTheme="minorHAnsi" w:hAnsiTheme="minorHAnsi" w:cs="Arial"/>
          <w:sz w:val="20"/>
          <w:szCs w:val="20"/>
        </w:rPr>
        <w:br/>
      </w:r>
      <w:r w:rsidRPr="008262CC">
        <w:rPr>
          <w:rFonts w:asciiTheme="minorHAnsi" w:hAnsiTheme="minorHAnsi" w:cs="Arial"/>
          <w:sz w:val="20"/>
          <w:szCs w:val="20"/>
        </w:rPr>
        <w:t xml:space="preserve">č. </w:t>
      </w:r>
      <w:r w:rsidR="00CA1682" w:rsidRPr="00CA1682">
        <w:rPr>
          <w:rFonts w:asciiTheme="minorHAnsi" w:hAnsiTheme="minorHAnsi" w:cs="Arial"/>
          <w:sz w:val="20"/>
          <w:szCs w:val="20"/>
        </w:rPr>
        <w:t>0435/ZM1822/8 ze dne 18. 9. 2019</w:t>
      </w:r>
      <w:r w:rsidRPr="00CA1682">
        <w:rPr>
          <w:rFonts w:asciiTheme="minorHAnsi" w:hAnsiTheme="minorHAnsi" w:cs="Arial"/>
          <w:sz w:val="20"/>
          <w:szCs w:val="20"/>
        </w:rPr>
        <w:t xml:space="preserve"> je </w:t>
      </w:r>
      <w:r w:rsidRPr="008262CC">
        <w:rPr>
          <w:rFonts w:asciiTheme="minorHAnsi" w:hAnsiTheme="minorHAnsi" w:cs="Arial"/>
          <w:sz w:val="20"/>
          <w:szCs w:val="20"/>
        </w:rPr>
        <w:t>předkládána pravidelná informace o stavu přípravy a realizace projektů:</w:t>
      </w:r>
    </w:p>
    <w:p w:rsidR="00C34EFC" w:rsidRPr="008262CC" w:rsidRDefault="00C34EFC" w:rsidP="00C34EFC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6C7746" w:rsidRPr="008262CC" w:rsidTr="006C7746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Název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investorů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  <w:r w:rsidR="002F7CB0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2F7CB0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Default="006C7746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investorů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31.12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593B2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6C7746" w:rsidRPr="008262CC" w:rsidRDefault="006C7746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Pr="008262CC" w:rsidRDefault="006C7746" w:rsidP="00AB55D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  <w:r w:rsidR="002F7CB0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2F7CB0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7746" w:rsidRPr="008262CC" w:rsidRDefault="006C7746" w:rsidP="002F7CB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31.12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593B2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C7746" w:rsidRPr="008262CC" w:rsidRDefault="006C7746" w:rsidP="002F7CB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 w:rsidR="002F7CB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31.12.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="00593B2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6C7746" w:rsidRPr="00DA1D3B" w:rsidTr="00593B22">
        <w:trPr>
          <w:trHeight w:val="543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Průmyslová zóna Ostrava-Hrabová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1106B6" w:rsidRDefault="001106B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06B6">
              <w:rPr>
                <w:rFonts w:asciiTheme="minorHAnsi" w:hAnsiTheme="minorHAnsi" w:cs="Arial"/>
                <w:bCs/>
                <w:sz w:val="18"/>
                <w:szCs w:val="18"/>
              </w:rPr>
              <w:t>22 951,83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1106B6" w:rsidRDefault="00411570" w:rsidP="00E67E72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26 232,94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E621E6" w:rsidRDefault="00574F34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21E6">
              <w:rPr>
                <w:rFonts w:asciiTheme="minorHAnsi" w:hAnsiTheme="minorHAnsi" w:cs="Arial"/>
                <w:bCs/>
                <w:sz w:val="18"/>
                <w:szCs w:val="18"/>
              </w:rPr>
              <w:t>9 247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46" w:rsidRPr="00574F34" w:rsidRDefault="00423179" w:rsidP="00E67E72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8 575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7746" w:rsidRPr="00574F34" w:rsidRDefault="00BD2684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9 395</w:t>
            </w:r>
          </w:p>
        </w:tc>
      </w:tr>
      <w:tr w:rsidR="006C7746" w:rsidRPr="00DA1D3B" w:rsidTr="00593B22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Strategická průmyslová zóna Ostrava-Mošnov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1106B6" w:rsidRDefault="001106B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06B6">
              <w:rPr>
                <w:rFonts w:asciiTheme="minorHAnsi" w:hAnsiTheme="minorHAnsi" w:cs="Arial"/>
                <w:bCs/>
                <w:sz w:val="18"/>
                <w:szCs w:val="18"/>
              </w:rPr>
              <w:t>14 251,42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1106B6" w:rsidRDefault="00411570" w:rsidP="00FB421C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14 604,65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746" w:rsidRPr="00E621E6" w:rsidRDefault="00574F34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621E6">
              <w:rPr>
                <w:rFonts w:asciiTheme="minorHAnsi" w:hAnsiTheme="minorHAnsi" w:cs="Arial"/>
                <w:bCs/>
                <w:sz w:val="18"/>
                <w:szCs w:val="18"/>
              </w:rPr>
              <w:t>4 118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46" w:rsidRPr="00574F34" w:rsidRDefault="00423179" w:rsidP="00E67E72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3 903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7746" w:rsidRPr="00574F34" w:rsidRDefault="00BD2684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Cs/>
                <w:sz w:val="18"/>
                <w:szCs w:val="18"/>
              </w:rPr>
              <w:t>4 068</w:t>
            </w:r>
          </w:p>
        </w:tc>
      </w:tr>
      <w:tr w:rsidR="006C7746" w:rsidRPr="008262CC" w:rsidTr="006C7746">
        <w:trPr>
          <w:trHeight w:val="408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746" w:rsidRPr="008262CC" w:rsidRDefault="006C7746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>Rozvojová zóna Hrušov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746" w:rsidRPr="001106B6" w:rsidRDefault="001106B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06B6">
              <w:rPr>
                <w:rFonts w:asciiTheme="minorHAnsi" w:hAnsiTheme="minorHAnsi" w:cs="Arial"/>
                <w:sz w:val="18"/>
                <w:szCs w:val="18"/>
              </w:rPr>
              <w:t>255,00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746" w:rsidRPr="005E3988" w:rsidRDefault="005E3988" w:rsidP="00E67E72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E3988">
              <w:rPr>
                <w:rFonts w:asciiTheme="minorHAnsi" w:hAnsiTheme="minorHAnsi" w:cs="Arial"/>
                <w:b/>
                <w:sz w:val="18"/>
                <w:szCs w:val="18"/>
              </w:rPr>
              <w:t>281,5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746" w:rsidRPr="00E621E6" w:rsidRDefault="006C774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621E6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746" w:rsidRPr="00574F34" w:rsidRDefault="00692811" w:rsidP="00E67E72">
            <w:pPr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423179">
              <w:rPr>
                <w:rFonts w:asciiTheme="minorHAnsi" w:hAnsiTheme="minorHAnsi" w:cs="Arial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746" w:rsidRPr="00C56778" w:rsidRDefault="006C7746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56778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6C7746" w:rsidRPr="00DA1D3B" w:rsidTr="006C7746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C7746" w:rsidRPr="008262CC" w:rsidRDefault="006C7746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Pr="001106B6" w:rsidRDefault="001106B6" w:rsidP="00E67E7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106B6">
              <w:rPr>
                <w:rFonts w:asciiTheme="minorHAnsi" w:hAnsiTheme="minorHAnsi" w:cs="Arial"/>
                <w:bCs/>
                <w:sz w:val="18"/>
                <w:szCs w:val="18"/>
              </w:rPr>
              <w:t>37 458,25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Pr="005E3988" w:rsidRDefault="005E3988" w:rsidP="00FB421C">
            <w:pPr>
              <w:ind w:left="-20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E398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41 119,09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Pr="00E621E6" w:rsidRDefault="00574F34" w:rsidP="00E67E7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21E6">
              <w:rPr>
                <w:rFonts w:asciiTheme="minorHAnsi" w:hAnsiTheme="minorHAnsi" w:cs="Arial"/>
                <w:bCs/>
                <w:sz w:val="18"/>
                <w:szCs w:val="18"/>
              </w:rPr>
              <w:t>13 365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46" w:rsidRPr="00574F34" w:rsidRDefault="00C932FB" w:rsidP="00466D9E">
            <w:pPr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C932F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12 478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C7746" w:rsidRPr="00C56778" w:rsidRDefault="00C56778" w:rsidP="00970C47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13 463</w:t>
            </w:r>
          </w:p>
        </w:tc>
      </w:tr>
    </w:tbl>
    <w:p w:rsidR="004F6E52" w:rsidRPr="008262CC" w:rsidRDefault="004F6E52" w:rsidP="004C4077">
      <w:pPr>
        <w:pStyle w:val="Zkladntext"/>
        <w:spacing w:before="6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:rsidR="00F36367" w:rsidRDefault="004C4077" w:rsidP="00207613">
      <w:pPr>
        <w:pStyle w:val="Zkladntext"/>
        <w:tabs>
          <w:tab w:val="left" w:pos="0"/>
          <w:tab w:val="left" w:pos="142"/>
        </w:tabs>
        <w:spacing w:after="12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="008156DA">
        <w:rPr>
          <w:rFonts w:asciiTheme="minorHAnsi" w:hAnsiTheme="minorHAnsi" w:cs="Arial"/>
          <w:sz w:val="16"/>
          <w:szCs w:val="16"/>
        </w:rPr>
        <w:t>počet vytvořených pracovních míst k 12/2020 nelze nyní dle vyjádření CONTERA Management s.r.o. specifikovat, probíhají jednání s </w:t>
      </w:r>
      <w:proofErr w:type="spellStart"/>
      <w:r w:rsidR="008156DA">
        <w:rPr>
          <w:rFonts w:asciiTheme="minorHAnsi" w:hAnsiTheme="minorHAnsi" w:cs="Arial"/>
          <w:sz w:val="16"/>
          <w:szCs w:val="16"/>
        </w:rPr>
        <w:t>potenc</w:t>
      </w:r>
      <w:proofErr w:type="spellEnd"/>
      <w:r w:rsidR="008156DA">
        <w:rPr>
          <w:rFonts w:asciiTheme="minorHAnsi" w:hAnsiTheme="minorHAnsi" w:cs="Arial"/>
          <w:sz w:val="16"/>
          <w:szCs w:val="16"/>
        </w:rPr>
        <w:t>. klienty</w:t>
      </w:r>
      <w:r w:rsidR="00100547" w:rsidRPr="008262CC">
        <w:rPr>
          <w:rFonts w:asciiTheme="minorHAnsi" w:hAnsiTheme="minorHAnsi" w:cs="Arial"/>
          <w:sz w:val="16"/>
          <w:szCs w:val="16"/>
        </w:rPr>
        <w:tab/>
      </w:r>
    </w:p>
    <w:p w:rsidR="00AE4791" w:rsidRPr="008262CC" w:rsidRDefault="00100547" w:rsidP="00207613">
      <w:pPr>
        <w:pStyle w:val="Zkladntext"/>
        <w:tabs>
          <w:tab w:val="left" w:pos="0"/>
          <w:tab w:val="left" w:pos="142"/>
        </w:tabs>
        <w:spacing w:after="12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ab/>
      </w:r>
      <w:r w:rsidR="00C34EFC" w:rsidRPr="008262CC">
        <w:rPr>
          <w:rFonts w:asciiTheme="minorHAnsi" w:hAnsiTheme="minorHAnsi" w:cs="Arial"/>
          <w:sz w:val="16"/>
          <w:szCs w:val="16"/>
        </w:rPr>
        <w:t xml:space="preserve"> </w:t>
      </w:r>
    </w:p>
    <w:p w:rsidR="00F32650" w:rsidRPr="008262CC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262CC">
        <w:rPr>
          <w:rFonts w:asciiTheme="minorHAnsi" w:hAnsiTheme="minorHAnsi" w:cs="Arial"/>
          <w:b/>
          <w:sz w:val="22"/>
          <w:szCs w:val="22"/>
        </w:rPr>
        <w:t>Průmyslov</w:t>
      </w:r>
      <w:r w:rsidR="005C7C86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5C7C86" w:rsidRPr="008262CC">
        <w:rPr>
          <w:rFonts w:asciiTheme="minorHAnsi" w:hAnsiTheme="minorHAnsi" w:cs="Arial"/>
          <w:b/>
          <w:sz w:val="22"/>
          <w:szCs w:val="22"/>
        </w:rPr>
        <w:t>a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Ostrava-Hrabová </w:t>
      </w: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A55CE8" w:rsidRPr="008262CC" w:rsidTr="00A55CE8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Investoři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30.06.2019</w:t>
            </w:r>
          </w:p>
          <w:p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Default="00A55CE8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</w:t>
            </w:r>
            <w:r w:rsidR="0000725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 31.12.2019</w:t>
            </w:r>
          </w:p>
          <w:p w:rsidR="00A55CE8" w:rsidRPr="008262CC" w:rsidRDefault="00A55CE8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Pr="008262CC" w:rsidRDefault="00A55CE8" w:rsidP="00AB55D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  <w:r w:rsidR="00D6033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D6033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5CE8" w:rsidRPr="008262CC" w:rsidRDefault="00A55CE8" w:rsidP="00031C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D6033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55CE8" w:rsidRPr="008262CC" w:rsidRDefault="00A55CE8" w:rsidP="00B67A0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 w:rsidR="00B67A0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31.12.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="00031C6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A55CE8" w:rsidRPr="008369BD" w:rsidTr="00A55CE8">
        <w:trPr>
          <w:trHeight w:val="543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5CE8" w:rsidRPr="008262CC" w:rsidRDefault="00A55CE8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PEGATRON Czech, s.r.o. </w:t>
            </w:r>
            <w:r w:rsidR="00974B7F">
              <w:rPr>
                <w:rFonts w:asciiTheme="minorHAnsi" w:hAnsiTheme="minorHAnsi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007252" w:rsidRDefault="00007252" w:rsidP="004417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7252">
              <w:rPr>
                <w:rFonts w:asciiTheme="minorHAnsi" w:hAnsiTheme="minorHAnsi" w:cs="Arial"/>
                <w:sz w:val="18"/>
                <w:szCs w:val="18"/>
              </w:rPr>
              <w:t>1 177,83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875D7E" w:rsidRDefault="00D6033E" w:rsidP="001843F7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1260,94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D6033E" w:rsidRDefault="00D6033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6033E">
              <w:rPr>
                <w:rFonts w:asciiTheme="minorHAnsi" w:hAnsiTheme="minorHAnsi" w:cs="Arial"/>
                <w:sz w:val="18"/>
                <w:szCs w:val="18"/>
                <w:lang w:val="en-US"/>
              </w:rPr>
              <w:t>1165/708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E8" w:rsidRPr="00875D7E" w:rsidRDefault="00B67A03" w:rsidP="00D539A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639/348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9B6766" w:rsidRDefault="00B67A03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639</w:t>
            </w:r>
          </w:p>
        </w:tc>
      </w:tr>
      <w:tr w:rsidR="00A55CE8" w:rsidRPr="008369BD" w:rsidTr="00A55CE8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5CE8" w:rsidRPr="008262CC" w:rsidRDefault="00A55CE8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CTP Invest, spol. s r.o.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007252" w:rsidRDefault="00007252" w:rsidP="0044176A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007252">
              <w:rPr>
                <w:rFonts w:asciiTheme="minorHAnsi" w:hAnsiTheme="minorHAnsi" w:cs="Arial"/>
                <w:sz w:val="18"/>
                <w:szCs w:val="18"/>
              </w:rPr>
              <w:t>6 650,00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875D7E" w:rsidRDefault="00796AA3" w:rsidP="002761C3">
            <w:pPr>
              <w:ind w:left="-208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7 000,00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D6033E" w:rsidRDefault="00D6033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D6033E">
              <w:rPr>
                <w:rFonts w:asciiTheme="minorHAnsi" w:hAnsiTheme="minorHAnsi" w:cs="Arial"/>
                <w:sz w:val="18"/>
                <w:szCs w:val="18"/>
              </w:rPr>
              <w:t>5 850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E8" w:rsidRPr="00875D7E" w:rsidRDefault="00796AA3" w:rsidP="002761C3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5CE8" w:rsidRPr="009B6766" w:rsidRDefault="00A55CE8" w:rsidP="00796AA3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2761C3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796AA3">
              <w:rPr>
                <w:rFonts w:asciiTheme="minorHAnsi" w:hAnsiTheme="minorHAnsi" w:cs="Arial"/>
                <w:sz w:val="18"/>
                <w:szCs w:val="18"/>
              </w:rPr>
              <w:t>700</w:t>
            </w:r>
          </w:p>
        </w:tc>
      </w:tr>
      <w:tr w:rsidR="00A55CE8" w:rsidRPr="008262CC" w:rsidTr="00A55CE8">
        <w:trPr>
          <w:trHeight w:val="408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CE8" w:rsidRPr="008262CC" w:rsidRDefault="00A55CE8" w:rsidP="00974B7F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Sungwoo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Hitech s.r.o.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CE8" w:rsidRPr="00007252" w:rsidRDefault="00007252" w:rsidP="0044176A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007252">
              <w:rPr>
                <w:rFonts w:asciiTheme="minorHAnsi" w:hAnsiTheme="minorHAnsi" w:cs="Arial"/>
                <w:sz w:val="18"/>
                <w:szCs w:val="18"/>
              </w:rPr>
              <w:t>15 124,00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CE8" w:rsidRPr="00875D7E" w:rsidRDefault="00AA6AC4" w:rsidP="00875D7E">
            <w:pPr>
              <w:ind w:left="-208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17 972,00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CE8" w:rsidRPr="00D6033E" w:rsidRDefault="00D6033E" w:rsidP="00277168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D6033E">
              <w:rPr>
                <w:rFonts w:asciiTheme="minorHAnsi" w:hAnsiTheme="minorHAnsi" w:cs="Arial"/>
                <w:sz w:val="18"/>
                <w:szCs w:val="18"/>
              </w:rPr>
              <w:t>2232/583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5CE8" w:rsidRPr="00875D7E" w:rsidRDefault="00AA6AC4" w:rsidP="00875D7E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1986/340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CE8" w:rsidRPr="009B6766" w:rsidRDefault="00AA6AC4" w:rsidP="00E67E72">
            <w:pPr>
              <w:jc w:val="center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2056/375</w:t>
            </w:r>
          </w:p>
        </w:tc>
      </w:tr>
      <w:tr w:rsidR="00A55CE8" w:rsidRPr="00DA1D3B" w:rsidTr="00A55CE8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55CE8" w:rsidRPr="008262CC" w:rsidRDefault="00A55CE8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Pr="00007252" w:rsidRDefault="00007252" w:rsidP="0044176A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007252">
              <w:rPr>
                <w:rFonts w:asciiTheme="minorHAnsi" w:hAnsiTheme="minorHAnsi" w:cs="Arial"/>
                <w:bCs/>
                <w:sz w:val="18"/>
                <w:szCs w:val="18"/>
              </w:rPr>
              <w:t>22 951,83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Pr="00BD246A" w:rsidRDefault="00010049" w:rsidP="00F26372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26 232,94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Pr="00D6033E" w:rsidRDefault="00D6033E" w:rsidP="00277168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D6033E">
              <w:rPr>
                <w:rFonts w:asciiTheme="minorHAnsi" w:hAnsiTheme="minorHAnsi" w:cs="Arial"/>
                <w:bCs/>
                <w:sz w:val="18"/>
                <w:szCs w:val="18"/>
              </w:rPr>
              <w:t>9 247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5CE8" w:rsidRPr="00F659A8" w:rsidRDefault="00FD5BEF" w:rsidP="00F26372">
            <w:pPr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8 575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55CE8" w:rsidRPr="009B6766" w:rsidRDefault="00FD5BEF" w:rsidP="00DE5622">
            <w:pPr>
              <w:jc w:val="center"/>
              <w:rPr>
                <w:rFonts w:asciiTheme="minorHAnsi" w:hAnsiTheme="minorHAnsi" w:cs="Arial"/>
                <w:bCs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9 395</w:t>
            </w:r>
          </w:p>
        </w:tc>
      </w:tr>
    </w:tbl>
    <w:p w:rsidR="004C4077" w:rsidRPr="008262CC" w:rsidRDefault="004C4077" w:rsidP="004C4077">
      <w:pPr>
        <w:pStyle w:val="Zkladntext"/>
        <w:spacing w:before="60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:rsidR="00C46FA8" w:rsidRDefault="00C46FA8" w:rsidP="00361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92"/>
        </w:tabs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Pr="008262CC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 xml:space="preserve">stav pracovních míst - číslo za lomítkem vyčísluje počet agenturních zaměstnanců z celkového uvedeného počtu </w:t>
      </w:r>
      <w:r w:rsidR="00361971">
        <w:rPr>
          <w:rFonts w:asciiTheme="minorHAnsi" w:hAnsiTheme="minorHAnsi" w:cs="Arial"/>
          <w:sz w:val="16"/>
          <w:szCs w:val="16"/>
        </w:rPr>
        <w:tab/>
      </w:r>
    </w:p>
    <w:p w:rsidR="00C46FA8" w:rsidRDefault="00C46FA8" w:rsidP="00C46FA8">
      <w:pPr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*</w:t>
      </w:r>
      <w:r>
        <w:rPr>
          <w:rFonts w:asciiTheme="minorHAnsi" w:hAnsiTheme="minorHAnsi" w:cs="Arial"/>
          <w:sz w:val="16"/>
          <w:szCs w:val="16"/>
        </w:rPr>
        <w:t>*</w:t>
      </w:r>
      <w:r w:rsidRPr="008262CC">
        <w:rPr>
          <w:rFonts w:asciiTheme="minorHAnsi" w:hAnsiTheme="minorHAnsi" w:cs="Arial"/>
          <w:sz w:val="16"/>
          <w:szCs w:val="16"/>
        </w:rPr>
        <w:t xml:space="preserve"> </w:t>
      </w:r>
      <w:r w:rsidRPr="008262CC">
        <w:rPr>
          <w:rFonts w:asciiTheme="minorHAnsi" w:hAnsiTheme="minorHAnsi" w:cs="Arial"/>
          <w:sz w:val="16"/>
          <w:szCs w:val="16"/>
        </w:rPr>
        <w:tab/>
      </w:r>
      <w:r w:rsidR="00974B7F">
        <w:rPr>
          <w:rFonts w:asciiTheme="minorHAnsi" w:hAnsiTheme="minorHAnsi" w:cs="Arial"/>
          <w:sz w:val="16"/>
          <w:szCs w:val="16"/>
        </w:rPr>
        <w:t xml:space="preserve">pokles zaměstnanosti ve společnosti PEGATRON Czech, s. r. o., je způsoben poklesem </w:t>
      </w:r>
      <w:r w:rsidR="00766B9B">
        <w:rPr>
          <w:rFonts w:asciiTheme="minorHAnsi" w:hAnsiTheme="minorHAnsi" w:cs="Arial"/>
          <w:sz w:val="16"/>
          <w:szCs w:val="16"/>
        </w:rPr>
        <w:t xml:space="preserve">zakázek a sníženým zájmem o produkty </w:t>
      </w:r>
    </w:p>
    <w:p w:rsidR="004C4077" w:rsidRPr="00C46FA8" w:rsidRDefault="004C4077" w:rsidP="00207613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</w:p>
    <w:p w:rsidR="00675A17" w:rsidRDefault="00CE57FC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675A17">
        <w:rPr>
          <w:rFonts w:asciiTheme="minorHAnsi" w:hAnsiTheme="minorHAnsi" w:cs="Arial"/>
          <w:sz w:val="20"/>
          <w:szCs w:val="20"/>
        </w:rPr>
        <w:t>rozloha</w:t>
      </w:r>
      <w:r w:rsidR="00882EC2" w:rsidRPr="00675A17">
        <w:rPr>
          <w:rFonts w:asciiTheme="minorHAnsi" w:hAnsiTheme="minorHAnsi" w:cs="Arial"/>
          <w:sz w:val="20"/>
          <w:szCs w:val="20"/>
        </w:rPr>
        <w:t xml:space="preserve"> 115 ha, </w:t>
      </w:r>
      <w:r w:rsidR="00222ECA" w:rsidRPr="00675A17">
        <w:rPr>
          <w:rFonts w:asciiTheme="minorHAnsi" w:hAnsiTheme="minorHAnsi" w:cs="Arial"/>
          <w:sz w:val="20"/>
          <w:szCs w:val="20"/>
        </w:rPr>
        <w:t>výstavba páteřní technické infrastruk</w:t>
      </w:r>
      <w:r w:rsidR="006971C4" w:rsidRPr="00675A17">
        <w:rPr>
          <w:rFonts w:asciiTheme="minorHAnsi" w:hAnsiTheme="minorHAnsi" w:cs="Arial"/>
          <w:sz w:val="20"/>
          <w:szCs w:val="20"/>
        </w:rPr>
        <w:t xml:space="preserve">tury, financovaná </w:t>
      </w:r>
      <w:r w:rsidRPr="00675A17">
        <w:rPr>
          <w:rFonts w:asciiTheme="minorHAnsi" w:hAnsiTheme="minorHAnsi" w:cs="Arial"/>
          <w:sz w:val="20"/>
          <w:szCs w:val="20"/>
        </w:rPr>
        <w:t>z prostředků statutárního města Ostravy a z prostředků státního rozpočtu formou dotace</w:t>
      </w:r>
      <w:r w:rsidR="006971C4" w:rsidRPr="00675A17">
        <w:rPr>
          <w:rFonts w:asciiTheme="minorHAnsi" w:hAnsiTheme="minorHAnsi" w:cs="Arial"/>
          <w:sz w:val="20"/>
          <w:szCs w:val="20"/>
        </w:rPr>
        <w:t>, byl</w:t>
      </w:r>
      <w:r w:rsidR="00022566" w:rsidRPr="00675A17">
        <w:rPr>
          <w:rFonts w:asciiTheme="minorHAnsi" w:hAnsiTheme="minorHAnsi" w:cs="Arial"/>
          <w:sz w:val="20"/>
          <w:szCs w:val="20"/>
        </w:rPr>
        <w:t xml:space="preserve">a dokončena v roce 2007; </w:t>
      </w:r>
    </w:p>
    <w:p w:rsidR="00080B66" w:rsidRPr="00675A17" w:rsidRDefault="00660292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675A17">
        <w:rPr>
          <w:rFonts w:asciiTheme="minorHAnsi" w:hAnsiTheme="minorHAnsi" w:cs="Arial"/>
          <w:sz w:val="20"/>
          <w:szCs w:val="20"/>
        </w:rPr>
        <w:t xml:space="preserve">město již nevlastní žádné volné pozemky v zóně, </w:t>
      </w:r>
      <w:r w:rsidR="00F305BF" w:rsidRPr="00675A17">
        <w:rPr>
          <w:rFonts w:asciiTheme="minorHAnsi" w:hAnsiTheme="minorHAnsi" w:cs="Arial"/>
          <w:sz w:val="20"/>
          <w:szCs w:val="20"/>
        </w:rPr>
        <w:t>majoritním vlastníkem pozemků je developerská společnost CTP</w:t>
      </w:r>
      <w:r w:rsidR="000C7A0A" w:rsidRPr="00675A17">
        <w:rPr>
          <w:rFonts w:asciiTheme="minorHAnsi" w:hAnsiTheme="minorHAnsi" w:cs="Arial"/>
          <w:sz w:val="20"/>
          <w:szCs w:val="20"/>
        </w:rPr>
        <w:t xml:space="preserve"> (</w:t>
      </w:r>
      <w:proofErr w:type="spellStart"/>
      <w:r w:rsidR="000C7A0A" w:rsidRPr="00675A17">
        <w:rPr>
          <w:rFonts w:asciiTheme="minorHAnsi" w:hAnsiTheme="minorHAnsi" w:cs="Arial"/>
          <w:sz w:val="20"/>
          <w:szCs w:val="20"/>
        </w:rPr>
        <w:t>CTPark</w:t>
      </w:r>
      <w:proofErr w:type="spellEnd"/>
      <w:r w:rsidR="000C7A0A" w:rsidRPr="00675A17">
        <w:rPr>
          <w:rFonts w:asciiTheme="minorHAnsi" w:hAnsiTheme="minorHAnsi" w:cs="Arial"/>
          <w:sz w:val="20"/>
          <w:szCs w:val="20"/>
        </w:rPr>
        <w:t xml:space="preserve"> Ostrava)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, 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která vlastní 79 ha pozemků, </w:t>
      </w:r>
      <w:r w:rsidR="0051331E" w:rsidRPr="00675A17">
        <w:rPr>
          <w:rFonts w:asciiTheme="minorHAnsi" w:hAnsiTheme="minorHAnsi" w:cs="Arial"/>
          <w:sz w:val="20"/>
          <w:szCs w:val="20"/>
        </w:rPr>
        <w:t>dále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 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společnosti </w:t>
      </w:r>
      <w:r w:rsidR="00882EC2" w:rsidRPr="00675A1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03DD2" w:rsidRPr="00675A17">
        <w:rPr>
          <w:rFonts w:asciiTheme="minorHAnsi" w:hAnsiTheme="minorHAnsi" w:cs="Arial"/>
          <w:sz w:val="20"/>
          <w:szCs w:val="20"/>
        </w:rPr>
        <w:t>Sungwoo</w:t>
      </w:r>
      <w:proofErr w:type="spellEnd"/>
      <w:r w:rsidR="00303DD2" w:rsidRPr="00675A17">
        <w:rPr>
          <w:rFonts w:asciiTheme="minorHAnsi" w:hAnsiTheme="minorHAnsi" w:cs="Arial"/>
          <w:sz w:val="20"/>
          <w:szCs w:val="20"/>
        </w:rPr>
        <w:t xml:space="preserve"> Hitech s. r. o.</w:t>
      </w:r>
      <w:r w:rsidR="00F305BF" w:rsidRPr="00675A17">
        <w:rPr>
          <w:rFonts w:asciiTheme="minorHAnsi" w:hAnsiTheme="minorHAnsi" w:cs="Arial"/>
          <w:sz w:val="20"/>
          <w:szCs w:val="20"/>
        </w:rPr>
        <w:t xml:space="preserve"> (výrobce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 </w:t>
      </w:r>
      <w:r w:rsidR="00F305BF" w:rsidRPr="00675A17">
        <w:rPr>
          <w:rFonts w:asciiTheme="minorHAnsi" w:hAnsiTheme="minorHAnsi" w:cs="Arial"/>
          <w:sz w:val="20"/>
          <w:szCs w:val="20"/>
        </w:rPr>
        <w:t>vnitřních ocelových částí pro osobní automobily)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 a PEGATRON CZECH, s. r. o. </w:t>
      </w:r>
      <w:r w:rsidR="003E7BED" w:rsidRPr="00675A17">
        <w:rPr>
          <w:rFonts w:asciiTheme="minorHAnsi" w:hAnsiTheme="minorHAnsi" w:cs="Arial"/>
          <w:sz w:val="20"/>
          <w:szCs w:val="20"/>
        </w:rPr>
        <w:t>(výrobce počítačových komponent)</w:t>
      </w:r>
      <w:r w:rsidR="00303DD2" w:rsidRPr="00675A17">
        <w:rPr>
          <w:rFonts w:asciiTheme="minorHAnsi" w:hAnsiTheme="minorHAnsi" w:cs="Arial"/>
          <w:sz w:val="20"/>
          <w:szCs w:val="20"/>
        </w:rPr>
        <w:t xml:space="preserve">. </w:t>
      </w:r>
      <w:r w:rsidR="00A67C2D" w:rsidRPr="00675A17">
        <w:rPr>
          <w:rFonts w:asciiTheme="minorHAnsi" w:hAnsiTheme="minorHAnsi"/>
          <w:b/>
          <w:sz w:val="20"/>
          <w:szCs w:val="20"/>
        </w:rPr>
        <w:t>Výše investic společností umístěných v zóně čin</w:t>
      </w:r>
      <w:r w:rsidR="00264CBD" w:rsidRPr="00675A17">
        <w:rPr>
          <w:rFonts w:asciiTheme="minorHAnsi" w:hAnsiTheme="minorHAnsi"/>
          <w:b/>
          <w:sz w:val="20"/>
          <w:szCs w:val="20"/>
        </w:rPr>
        <w:t>ila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ke dni </w:t>
      </w:r>
      <w:r w:rsidR="00675A17">
        <w:rPr>
          <w:rFonts w:asciiTheme="minorHAnsi" w:hAnsiTheme="minorHAnsi"/>
          <w:b/>
          <w:sz w:val="20"/>
          <w:szCs w:val="20"/>
        </w:rPr>
        <w:t>31. 12. 2019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částku </w:t>
      </w:r>
      <w:r w:rsidR="00675A17">
        <w:rPr>
          <w:rFonts w:asciiTheme="minorHAnsi" w:hAnsiTheme="minorHAnsi"/>
          <w:b/>
          <w:sz w:val="20"/>
          <w:szCs w:val="20"/>
        </w:rPr>
        <w:t>více než 26 mld.</w:t>
      </w:r>
      <w:r w:rsidR="00A67C2D" w:rsidRPr="00675A17">
        <w:rPr>
          <w:rFonts w:asciiTheme="minorHAnsi" w:hAnsiTheme="minorHAnsi"/>
          <w:b/>
          <w:sz w:val="20"/>
          <w:szCs w:val="20"/>
        </w:rPr>
        <w:t xml:space="preserve"> Kč a 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ke stejnému datu bylo </w:t>
      </w:r>
      <w:r w:rsidR="00675A17">
        <w:rPr>
          <w:rFonts w:asciiTheme="minorHAnsi" w:hAnsiTheme="minorHAnsi"/>
          <w:b/>
          <w:sz w:val="20"/>
          <w:szCs w:val="20"/>
        </w:rPr>
        <w:t>evidováno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 </w:t>
      </w:r>
      <w:r w:rsidR="00675A17">
        <w:rPr>
          <w:rFonts w:asciiTheme="minorHAnsi" w:hAnsiTheme="minorHAnsi"/>
          <w:b/>
          <w:sz w:val="20"/>
          <w:szCs w:val="20"/>
        </w:rPr>
        <w:t>8 575</w:t>
      </w:r>
      <w:r w:rsidR="00974B7F" w:rsidRPr="00675A17">
        <w:rPr>
          <w:rFonts w:asciiTheme="minorHAnsi" w:hAnsiTheme="minorHAnsi"/>
          <w:b/>
          <w:sz w:val="20"/>
          <w:szCs w:val="20"/>
        </w:rPr>
        <w:t xml:space="preserve"> pracovních míst</w:t>
      </w:r>
      <w:r w:rsidR="003E7BED" w:rsidRPr="00675A17">
        <w:rPr>
          <w:rFonts w:asciiTheme="minorHAnsi" w:hAnsiTheme="minorHAnsi"/>
          <w:sz w:val="20"/>
          <w:szCs w:val="20"/>
        </w:rPr>
        <w:t>;</w:t>
      </w:r>
      <w:r w:rsidR="00974B7F" w:rsidRPr="00675A17">
        <w:rPr>
          <w:rFonts w:asciiTheme="minorHAnsi" w:hAnsiTheme="minorHAnsi"/>
          <w:sz w:val="20"/>
          <w:szCs w:val="20"/>
        </w:rPr>
        <w:t xml:space="preserve"> </w:t>
      </w:r>
    </w:p>
    <w:p w:rsidR="00246EB5" w:rsidRDefault="00246EB5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246EB5">
        <w:rPr>
          <w:rFonts w:asciiTheme="minorHAnsi" w:hAnsiTheme="minorHAnsi" w:cs="Arial"/>
          <w:sz w:val="20"/>
          <w:szCs w:val="20"/>
        </w:rPr>
        <w:t xml:space="preserve">v rámci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CTParku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 Ostrava probíhá výstavba haly O23, která bude předána klientům – společnostem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Brembo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 a Hyundai Steel</w:t>
      </w:r>
      <w:r w:rsidR="006465FA">
        <w:rPr>
          <w:rFonts w:asciiTheme="minorHAnsi" w:hAnsiTheme="minorHAnsi" w:cs="Arial"/>
          <w:sz w:val="20"/>
          <w:szCs w:val="20"/>
        </w:rPr>
        <w:t xml:space="preserve"> Czech</w:t>
      </w:r>
      <w:r w:rsidRPr="00246EB5">
        <w:rPr>
          <w:rFonts w:asciiTheme="minorHAnsi" w:hAnsiTheme="minorHAnsi" w:cs="Arial"/>
          <w:sz w:val="20"/>
          <w:szCs w:val="20"/>
        </w:rPr>
        <w:t xml:space="preserve"> na podzim 2020; v rámci výstavby je řešena také jednotka C o rozloze cca 3 500 m</w:t>
      </w:r>
      <w:r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Pr="00246EB5">
        <w:rPr>
          <w:rFonts w:asciiTheme="minorHAnsi" w:hAnsiTheme="minorHAnsi" w:cs="Arial"/>
          <w:sz w:val="20"/>
          <w:szCs w:val="20"/>
        </w:rPr>
        <w:t xml:space="preserve">, která je nabízena potenciálním nájemcům. Jsou dostavěny haly O20 a O16, které jsou pronajaty klientům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Dachser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Savera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 (výrobce komponentů pro výtahy) a Allianz </w:t>
      </w:r>
      <w:proofErr w:type="spellStart"/>
      <w:r w:rsidRPr="00246EB5">
        <w:rPr>
          <w:rFonts w:asciiTheme="minorHAnsi" w:hAnsiTheme="minorHAnsi" w:cs="Arial"/>
          <w:sz w:val="20"/>
          <w:szCs w:val="20"/>
        </w:rPr>
        <w:t>Healthcare</w:t>
      </w:r>
      <w:proofErr w:type="spellEnd"/>
      <w:r w:rsidRPr="00246EB5">
        <w:rPr>
          <w:rFonts w:asciiTheme="minorHAnsi" w:hAnsiTheme="minorHAnsi" w:cs="Arial"/>
          <w:sz w:val="20"/>
          <w:szCs w:val="20"/>
        </w:rPr>
        <w:t xml:space="preserve">. K dispozici jsou ještě dvě jednotky o rozloze cca </w:t>
      </w:r>
      <w:r>
        <w:rPr>
          <w:rFonts w:asciiTheme="minorHAnsi" w:hAnsiTheme="minorHAnsi" w:cs="Arial"/>
          <w:sz w:val="20"/>
          <w:szCs w:val="20"/>
        </w:rPr>
        <w:t>1 000 m</w:t>
      </w:r>
      <w:r>
        <w:rPr>
          <w:rFonts w:asciiTheme="minorHAnsi" w:hAnsiTheme="minorHAnsi" w:cs="Arial"/>
          <w:sz w:val="20"/>
          <w:szCs w:val="20"/>
          <w:vertAlign w:val="superscript"/>
        </w:rPr>
        <w:t>2</w:t>
      </w:r>
      <w:r>
        <w:rPr>
          <w:rFonts w:asciiTheme="minorHAnsi" w:hAnsiTheme="minorHAnsi" w:cs="Arial"/>
          <w:sz w:val="20"/>
          <w:szCs w:val="20"/>
        </w:rPr>
        <w:t xml:space="preserve">, které jsou nabízeny k pronájmu. </w:t>
      </w:r>
    </w:p>
    <w:p w:rsidR="007804C0" w:rsidRPr="00246EB5" w:rsidRDefault="00246EB5" w:rsidP="00D90A9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hale O26 bylo pronajato novému nájemci cca 4 000 m</w:t>
      </w:r>
      <w:r w:rsidR="002A4D72">
        <w:rPr>
          <w:rFonts w:asciiTheme="minorHAnsi" w:hAnsiTheme="minorHAnsi" w:cs="Arial"/>
          <w:sz w:val="20"/>
          <w:szCs w:val="20"/>
          <w:vertAlign w:val="superscript"/>
        </w:rPr>
        <w:t xml:space="preserve">2 </w:t>
      </w:r>
      <w:r w:rsidR="002A4D72">
        <w:rPr>
          <w:rFonts w:asciiTheme="minorHAnsi" w:hAnsiTheme="minorHAnsi" w:cs="Arial"/>
          <w:sz w:val="20"/>
          <w:szCs w:val="20"/>
        </w:rPr>
        <w:t xml:space="preserve">plochy, předání haly je plánováno v létě 2020, k dispozici zůstává asi 4 000 </w:t>
      </w:r>
      <w:r w:rsidR="002A4D72" w:rsidRPr="00246EB5">
        <w:rPr>
          <w:rFonts w:asciiTheme="minorHAnsi" w:hAnsiTheme="minorHAnsi" w:cs="Arial"/>
          <w:sz w:val="20"/>
          <w:szCs w:val="20"/>
        </w:rPr>
        <w:t>m</w:t>
      </w:r>
      <w:r w:rsidR="002A4D72"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2A4D72" w:rsidRPr="00246EB5">
        <w:rPr>
          <w:rFonts w:asciiTheme="minorHAnsi" w:hAnsiTheme="minorHAnsi" w:cs="Arial"/>
          <w:sz w:val="20"/>
          <w:szCs w:val="20"/>
        </w:rPr>
        <w:t xml:space="preserve">, </w:t>
      </w:r>
      <w:r w:rsidR="002A4D72">
        <w:rPr>
          <w:rFonts w:asciiTheme="minorHAnsi" w:hAnsiTheme="minorHAnsi" w:cs="Arial"/>
          <w:sz w:val="20"/>
          <w:szCs w:val="20"/>
        </w:rPr>
        <w:t xml:space="preserve">které jsou nabízeny. Hala O8 </w:t>
      </w:r>
      <w:r w:rsidR="00942954">
        <w:rPr>
          <w:rFonts w:asciiTheme="minorHAnsi" w:hAnsiTheme="minorHAnsi" w:cs="Arial"/>
          <w:sz w:val="20"/>
          <w:szCs w:val="20"/>
        </w:rPr>
        <w:t>byla</w:t>
      </w:r>
      <w:r w:rsidR="002A4D72">
        <w:rPr>
          <w:rFonts w:asciiTheme="minorHAnsi" w:hAnsiTheme="minorHAnsi" w:cs="Arial"/>
          <w:sz w:val="20"/>
          <w:szCs w:val="20"/>
        </w:rPr>
        <w:t xml:space="preserve"> v lednu 2020 předána novému nájemci HILTE, který má opci na cca dalších 5 000 </w:t>
      </w:r>
      <w:r w:rsidR="002A4D72" w:rsidRPr="00246EB5">
        <w:rPr>
          <w:rFonts w:asciiTheme="minorHAnsi" w:hAnsiTheme="minorHAnsi" w:cs="Arial"/>
          <w:sz w:val="20"/>
          <w:szCs w:val="20"/>
        </w:rPr>
        <w:t>m</w:t>
      </w:r>
      <w:r w:rsidR="002A4D72" w:rsidRPr="00246EB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2A4D72">
        <w:rPr>
          <w:rFonts w:asciiTheme="minorHAnsi" w:hAnsiTheme="minorHAnsi" w:cs="Arial"/>
          <w:sz w:val="20"/>
          <w:szCs w:val="20"/>
        </w:rPr>
        <w:t xml:space="preserve"> extenze. Situační plánek </w:t>
      </w:r>
      <w:proofErr w:type="spellStart"/>
      <w:r w:rsidR="002A4D72">
        <w:rPr>
          <w:rFonts w:asciiTheme="minorHAnsi" w:hAnsiTheme="minorHAnsi" w:cs="Arial"/>
          <w:sz w:val="20"/>
          <w:szCs w:val="20"/>
        </w:rPr>
        <w:t>CTParku</w:t>
      </w:r>
      <w:proofErr w:type="spellEnd"/>
      <w:r w:rsidR="002A4D72">
        <w:rPr>
          <w:rFonts w:asciiTheme="minorHAnsi" w:hAnsiTheme="minorHAnsi" w:cs="Arial"/>
          <w:sz w:val="20"/>
          <w:szCs w:val="20"/>
        </w:rPr>
        <w:t xml:space="preserve"> je součástí přílohy. </w:t>
      </w:r>
    </w:p>
    <w:p w:rsidR="00345E13" w:rsidRDefault="00345E13" w:rsidP="00345E13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:rsidR="00651197" w:rsidRPr="00651197" w:rsidRDefault="00651197" w:rsidP="007804C0">
      <w:pPr>
        <w:pStyle w:val="Zkladntext"/>
        <w:spacing w:after="120"/>
        <w:ind w:left="28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 xml:space="preserve"> </w:t>
      </w:r>
    </w:p>
    <w:p w:rsidR="00A305C6" w:rsidRPr="008262CC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262CC">
        <w:rPr>
          <w:rFonts w:asciiTheme="minorHAnsi" w:hAnsiTheme="minorHAnsi" w:cs="Arial"/>
          <w:b/>
          <w:sz w:val="22"/>
          <w:szCs w:val="22"/>
        </w:rPr>
        <w:lastRenderedPageBreak/>
        <w:t>Strategick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průmyslov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á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2D4A15" w:rsidRPr="008262CC">
        <w:rPr>
          <w:rFonts w:asciiTheme="minorHAnsi" w:hAnsiTheme="minorHAnsi" w:cs="Arial"/>
          <w:b/>
          <w:sz w:val="22"/>
          <w:szCs w:val="22"/>
        </w:rPr>
        <w:t>a</w:t>
      </w:r>
      <w:r w:rsidRPr="008262CC">
        <w:rPr>
          <w:rFonts w:asciiTheme="minorHAnsi" w:hAnsiTheme="minorHAnsi" w:cs="Arial"/>
          <w:b/>
          <w:sz w:val="22"/>
          <w:szCs w:val="22"/>
        </w:rPr>
        <w:t xml:space="preserve"> Ostrava-Mošnov </w:t>
      </w:r>
    </w:p>
    <w:tbl>
      <w:tblPr>
        <w:tblW w:w="10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2"/>
        <w:gridCol w:w="1426"/>
        <w:gridCol w:w="1417"/>
        <w:gridCol w:w="1418"/>
      </w:tblGrid>
      <w:tr w:rsidR="00BA6E97" w:rsidRPr="008262CC" w:rsidTr="00BA6E97">
        <w:trPr>
          <w:trHeight w:val="746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Název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  <w:r w:rsidR="0099525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99525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Default="00BA6E97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Výše investice ze strany investora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.201</w:t>
            </w:r>
            <w:r w:rsidR="006876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BA6E97" w:rsidRPr="008262CC" w:rsidRDefault="00BA6E97" w:rsidP="00766B9B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(v mil. Kč)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Pr="008262CC" w:rsidRDefault="00BA6E97" w:rsidP="00A47E9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  <w:r w:rsidR="0099525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06</w:t>
            </w:r>
            <w:r w:rsidR="0099525E"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6E97" w:rsidRPr="008262CC" w:rsidRDefault="00BA6E97" w:rsidP="0099525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Stav pracovních míst k 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6876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6E97" w:rsidRPr="008262CC" w:rsidRDefault="00BA6E97" w:rsidP="0099525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Předpokládaný stav pracovních míst 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k 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="0099525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</w:t>
            </w: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.20</w:t>
            </w:r>
            <w:r w:rsidR="006876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BA6E97" w:rsidRPr="00DA1D3B" w:rsidTr="006876FF">
        <w:trPr>
          <w:trHeight w:val="356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MAHLE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Behr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Ostrava s.r.o.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800DB9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0DB9">
              <w:rPr>
                <w:rFonts w:asciiTheme="minorHAnsi" w:hAnsiTheme="minorHAnsi" w:cs="Arial"/>
                <w:bCs/>
                <w:sz w:val="18"/>
                <w:szCs w:val="18"/>
              </w:rPr>
              <w:t>3 406,00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800DB9" w:rsidRDefault="00800DB9" w:rsidP="00651888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0D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="00BB76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00D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457,00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800DB9" w:rsidRDefault="0099525E" w:rsidP="00E86D3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00DB9">
              <w:rPr>
                <w:rFonts w:asciiTheme="minorHAnsi" w:hAnsiTheme="minorHAnsi" w:cs="Arial"/>
                <w:bCs/>
                <w:sz w:val="18"/>
                <w:szCs w:val="18"/>
              </w:rPr>
              <w:t>1 547/305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7" w:rsidRPr="00800DB9" w:rsidRDefault="00800DB9" w:rsidP="00AB421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800D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1 281/132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E97" w:rsidRPr="00800DB9" w:rsidRDefault="00800DB9" w:rsidP="00AB4217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00DB9">
              <w:rPr>
                <w:rFonts w:asciiTheme="minorHAnsi" w:hAnsiTheme="minorHAnsi" w:cs="Arial"/>
                <w:bCs/>
                <w:sz w:val="18"/>
                <w:szCs w:val="18"/>
              </w:rPr>
              <w:t>1 192/123</w:t>
            </w:r>
          </w:p>
        </w:tc>
      </w:tr>
      <w:tr w:rsidR="00BA6E97" w:rsidRPr="00DA1D3B" w:rsidTr="006876FF">
        <w:trPr>
          <w:trHeight w:val="35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PLAKOR CZECH s.r.o.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4C4A1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bCs/>
                <w:sz w:val="18"/>
                <w:szCs w:val="18"/>
              </w:rPr>
              <w:t>3 440,87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99525E" w:rsidRDefault="0011090E" w:rsidP="00EE1BFE">
            <w:pPr>
              <w:ind w:left="-208"/>
              <w:jc w:val="center"/>
              <w:rPr>
                <w:rFonts w:asciiTheme="minorHAnsi" w:hAnsiTheme="minorHAnsi" w:cs="Arial"/>
                <w:b/>
                <w:color w:val="C00000"/>
                <w:sz w:val="18"/>
                <w:szCs w:val="18"/>
              </w:rPr>
            </w:pPr>
            <w:r w:rsidRPr="00800D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3 440,87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E86D3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1 068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7" w:rsidRPr="00800DB9" w:rsidRDefault="00800DB9" w:rsidP="00EE1BF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0DB9">
              <w:rPr>
                <w:rFonts w:asciiTheme="minorHAnsi" w:hAnsiTheme="minorHAnsi" w:cs="Arial"/>
                <w:b/>
                <w:sz w:val="18"/>
                <w:szCs w:val="18"/>
              </w:rPr>
              <w:t>1 043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E97" w:rsidRPr="00800DB9" w:rsidRDefault="00800DB9" w:rsidP="00EE1BF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0DB9">
              <w:rPr>
                <w:rFonts w:asciiTheme="minorHAnsi" w:hAnsiTheme="minorHAnsi" w:cs="Arial"/>
                <w:bCs/>
                <w:sz w:val="18"/>
                <w:szCs w:val="18"/>
              </w:rPr>
              <w:t>1 117</w:t>
            </w:r>
          </w:p>
        </w:tc>
      </w:tr>
      <w:tr w:rsidR="00BA6E97" w:rsidRPr="008262CC" w:rsidTr="00BA6E97">
        <w:trPr>
          <w:trHeight w:val="356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CROMODORA WHEELS s.r.o.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4C4A1B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2 992,85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BB769C" w:rsidRDefault="00BB769C" w:rsidP="0011090E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69C">
              <w:rPr>
                <w:rFonts w:asciiTheme="minorHAnsi" w:hAnsiTheme="minorHAnsi" w:cs="Arial"/>
                <w:b/>
                <w:sz w:val="18"/>
                <w:szCs w:val="18"/>
              </w:rPr>
              <w:t>3 087,54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BB769C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B769C">
              <w:rPr>
                <w:rFonts w:asciiTheme="minorHAnsi" w:hAnsiTheme="minorHAnsi" w:cs="Arial"/>
                <w:sz w:val="18"/>
                <w:szCs w:val="18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E97" w:rsidRPr="00BB769C" w:rsidRDefault="00BB769C" w:rsidP="00981E3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69C">
              <w:rPr>
                <w:rFonts w:asciiTheme="minorHAnsi" w:hAnsiTheme="minorHAnsi" w:cs="Arial"/>
                <w:b/>
                <w:sz w:val="18"/>
                <w:szCs w:val="18"/>
              </w:rPr>
              <w:t>436/77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BB769C" w:rsidRDefault="00BB769C" w:rsidP="00981E3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B769C">
              <w:rPr>
                <w:rFonts w:asciiTheme="minorHAnsi" w:hAnsiTheme="minorHAnsi" w:cs="Arial"/>
                <w:sz w:val="18"/>
                <w:szCs w:val="18"/>
              </w:rPr>
              <w:t>471/102</w:t>
            </w:r>
          </w:p>
        </w:tc>
      </w:tr>
      <w:tr w:rsidR="00BA6E97" w:rsidRPr="008262CC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6E97" w:rsidRPr="008262CC" w:rsidRDefault="00C50571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ENES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Cargo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a. 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25,04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541F8" w:rsidRDefault="0014051A" w:rsidP="00E67E72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41F8">
              <w:rPr>
                <w:rFonts w:asciiTheme="minorHAnsi" w:hAnsiTheme="minorHAnsi" w:cs="Arial"/>
                <w:b/>
                <w:sz w:val="18"/>
                <w:szCs w:val="18"/>
              </w:rPr>
              <w:t>25,04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541F8" w:rsidRDefault="006876F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541F8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E97" w:rsidRPr="002541F8" w:rsidRDefault="0014051A" w:rsidP="00E67E7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41F8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541F8" w:rsidRDefault="00F03017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541F8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2303D8" w:rsidRPr="002303D8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6E97" w:rsidRPr="008262CC" w:rsidRDefault="00CE5D9B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OSTRAVA AIRPORT MULTIMODAL PARK s. r. 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583,00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303D8" w:rsidRDefault="002303D8" w:rsidP="00E67E72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303D8">
              <w:rPr>
                <w:rFonts w:asciiTheme="minorHAnsi" w:hAnsiTheme="minorHAnsi" w:cs="Arial"/>
                <w:b/>
                <w:sz w:val="18"/>
                <w:szCs w:val="18"/>
              </w:rPr>
              <w:t>626,00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303D8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303D8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E97" w:rsidRPr="002303D8" w:rsidRDefault="002303D8" w:rsidP="00E67E7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303D8">
              <w:rPr>
                <w:rFonts w:asciiTheme="minorHAnsi" w:hAnsiTheme="minorHAnsi" w:cs="Arial"/>
                <w:b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2303D8" w:rsidRDefault="002303D8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303D8">
              <w:rPr>
                <w:rFonts w:asciiTheme="minorHAnsi" w:hAnsiTheme="minorHAnsi" w:cs="Arial"/>
                <w:sz w:val="18"/>
                <w:szCs w:val="18"/>
              </w:rPr>
              <w:t>200</w:t>
            </w:r>
          </w:p>
        </w:tc>
      </w:tr>
      <w:tr w:rsidR="00BA6E97" w:rsidRPr="008262CC" w:rsidTr="00BA6E97">
        <w:trPr>
          <w:trHeight w:val="439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Mobis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Automotive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System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Czech s.r.o.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3 745,00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054ADE" w:rsidRDefault="00054ADE" w:rsidP="00F03017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54ADE">
              <w:rPr>
                <w:rFonts w:asciiTheme="minorHAnsi" w:hAnsiTheme="minorHAnsi" w:cs="Arial"/>
                <w:b/>
                <w:sz w:val="18"/>
                <w:szCs w:val="18"/>
              </w:rPr>
              <w:t>3 851,00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054ADE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54ADE">
              <w:rPr>
                <w:rFonts w:asciiTheme="minorHAnsi" w:hAnsiTheme="minorHAnsi" w:cs="Arial"/>
                <w:sz w:val="18"/>
                <w:szCs w:val="18"/>
              </w:rPr>
              <w:t>1 011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E97" w:rsidRPr="00054ADE" w:rsidRDefault="00054ADE" w:rsidP="00E67E7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54ADE">
              <w:rPr>
                <w:rFonts w:asciiTheme="minorHAnsi" w:hAnsiTheme="minorHAnsi" w:cs="Arial"/>
                <w:b/>
                <w:sz w:val="18"/>
                <w:szCs w:val="18"/>
              </w:rPr>
              <w:t>1 041/2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054ADE" w:rsidRDefault="00054ADE" w:rsidP="00C24CC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54ADE">
              <w:rPr>
                <w:rFonts w:asciiTheme="minorHAnsi" w:hAnsiTheme="minorHAnsi" w:cs="Arial"/>
                <w:sz w:val="18"/>
                <w:szCs w:val="18"/>
              </w:rPr>
              <w:t>1 035/43</w:t>
            </w:r>
          </w:p>
        </w:tc>
      </w:tr>
      <w:tr w:rsidR="00170C87" w:rsidRPr="00170C87" w:rsidTr="006C6502">
        <w:trPr>
          <w:trHeight w:val="4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6E97" w:rsidRPr="008262CC" w:rsidRDefault="00BA6E97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Vítkovice-výzkum a vývoj-technické aplikace a.s. </w:t>
            </w:r>
            <w:r w:rsidRPr="008262C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99525E" w:rsidRDefault="0099525E" w:rsidP="00E67E72">
            <w:pPr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50,00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170C87" w:rsidRDefault="00597423" w:rsidP="00E67E72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0C87">
              <w:rPr>
                <w:rFonts w:asciiTheme="minorHAnsi" w:hAnsiTheme="minorHAnsi" w:cs="Arial"/>
                <w:b/>
                <w:sz w:val="18"/>
                <w:szCs w:val="18"/>
              </w:rPr>
              <w:t>50</w:t>
            </w:r>
            <w:r w:rsidR="00C20CF2" w:rsidRPr="00170C87">
              <w:rPr>
                <w:rFonts w:asciiTheme="minorHAnsi" w:hAnsiTheme="minorHAnsi" w:cs="Arial"/>
                <w:b/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E97" w:rsidRPr="00170C87" w:rsidRDefault="006876FF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0C8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E97" w:rsidRPr="00170C87" w:rsidRDefault="00B12D1C" w:rsidP="00E67E7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0C87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E97" w:rsidRPr="00170C87" w:rsidRDefault="00981E3B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0C87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</w:tr>
      <w:tr w:rsidR="006C6502" w:rsidRPr="008262CC" w:rsidTr="006876FF">
        <w:trPr>
          <w:trHeight w:val="4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502" w:rsidRDefault="006C6502" w:rsidP="00766B9B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XZB (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Europe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s. r. o.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502" w:rsidRPr="0099525E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sz w:val="18"/>
                <w:szCs w:val="18"/>
              </w:rPr>
              <w:t>8,660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502" w:rsidRPr="000D0518" w:rsidRDefault="000D0518" w:rsidP="00E67E72">
            <w:pPr>
              <w:ind w:left="-2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D0518">
              <w:rPr>
                <w:rFonts w:asciiTheme="minorHAnsi" w:hAnsiTheme="minorHAnsi" w:cs="Arial"/>
                <w:b/>
                <w:sz w:val="18"/>
                <w:szCs w:val="18"/>
              </w:rPr>
              <w:t>67,20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502" w:rsidRPr="000D0518" w:rsidRDefault="0099525E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518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502" w:rsidRPr="000D0518" w:rsidRDefault="000D0518" w:rsidP="00E67E7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D0518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C6502" w:rsidRPr="000D0518" w:rsidRDefault="000D0518" w:rsidP="00E67E7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518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</w:tr>
      <w:tr w:rsidR="00BA6E97" w:rsidRPr="00DA1D3B" w:rsidTr="00BA6E97">
        <w:trPr>
          <w:trHeight w:val="315"/>
          <w:jc w:val="center"/>
        </w:trPr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A6E97" w:rsidRPr="008262CC" w:rsidRDefault="00BA6E97" w:rsidP="00766B9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262C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Pr="002476A9" w:rsidRDefault="0099525E" w:rsidP="00E67E72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Cs/>
                <w:sz w:val="18"/>
                <w:szCs w:val="18"/>
              </w:rPr>
              <w:t>14 251,42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Pr="002476A9" w:rsidRDefault="00B12D1C" w:rsidP="002476A9">
            <w:pPr>
              <w:ind w:left="-208"/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</w:t>
            </w:r>
            <w:r w:rsidR="002476A9" w:rsidRPr="002476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604,65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Pr="0099525E" w:rsidRDefault="0099525E" w:rsidP="00E86D3B">
            <w:pPr>
              <w:jc w:val="center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99525E">
              <w:rPr>
                <w:rFonts w:asciiTheme="minorHAnsi" w:hAnsiTheme="minorHAnsi" w:cs="Arial"/>
                <w:bCs/>
                <w:sz w:val="18"/>
                <w:szCs w:val="18"/>
              </w:rPr>
              <w:t>4 118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E97" w:rsidRPr="0099525E" w:rsidRDefault="002476A9" w:rsidP="00E67E72">
            <w:pPr>
              <w:jc w:val="center"/>
              <w:rPr>
                <w:rFonts w:asciiTheme="minorHAnsi" w:hAnsiTheme="minorHAnsi" w:cs="Arial"/>
                <w:b/>
                <w:bCs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3 903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6E97" w:rsidRPr="0099525E" w:rsidRDefault="002476A9" w:rsidP="00C75765">
            <w:pPr>
              <w:jc w:val="center"/>
              <w:rPr>
                <w:rFonts w:asciiTheme="minorHAnsi" w:hAnsiTheme="minorHAnsi" w:cs="Arial"/>
                <w:bCs/>
                <w:color w:val="C00000"/>
                <w:sz w:val="18"/>
                <w:szCs w:val="18"/>
              </w:rPr>
            </w:pPr>
            <w:r w:rsidRPr="002476A9">
              <w:rPr>
                <w:rFonts w:asciiTheme="minorHAnsi" w:hAnsiTheme="minorHAnsi" w:cs="Arial"/>
                <w:bCs/>
                <w:sz w:val="18"/>
                <w:szCs w:val="18"/>
              </w:rPr>
              <w:t>4 068</w:t>
            </w:r>
          </w:p>
        </w:tc>
      </w:tr>
    </w:tbl>
    <w:p w:rsidR="000F119F" w:rsidRPr="008262CC" w:rsidRDefault="000F119F" w:rsidP="000F119F">
      <w:pPr>
        <w:spacing w:before="60"/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>Zdroj: jednotliví investoři</w:t>
      </w:r>
    </w:p>
    <w:p w:rsidR="000F119F" w:rsidRDefault="000F119F" w:rsidP="000F119F">
      <w:pPr>
        <w:jc w:val="both"/>
        <w:rPr>
          <w:rFonts w:asciiTheme="minorHAnsi" w:hAnsiTheme="minorHAnsi" w:cs="Arial"/>
          <w:sz w:val="16"/>
          <w:szCs w:val="16"/>
        </w:rPr>
      </w:pPr>
      <w:r w:rsidRPr="008262CC">
        <w:rPr>
          <w:rFonts w:asciiTheme="minorHAnsi" w:hAnsiTheme="minorHAnsi" w:cs="Arial"/>
          <w:sz w:val="16"/>
          <w:szCs w:val="16"/>
        </w:rPr>
        <w:t xml:space="preserve">* </w:t>
      </w:r>
      <w:r w:rsidRPr="008262CC">
        <w:rPr>
          <w:rFonts w:asciiTheme="minorHAnsi" w:hAnsiTheme="minorHAnsi" w:cs="Arial"/>
          <w:sz w:val="16"/>
          <w:szCs w:val="16"/>
        </w:rPr>
        <w:tab/>
      </w:r>
      <w:r w:rsidR="00AD1700">
        <w:rPr>
          <w:rFonts w:asciiTheme="minorHAnsi" w:hAnsiTheme="minorHAnsi" w:cs="Arial"/>
          <w:sz w:val="16"/>
          <w:szCs w:val="16"/>
        </w:rPr>
        <w:t xml:space="preserve">stav pracovních míst - číslo za lomítkem vyčísluje počet agenturních zaměstnanců z celkového uvedeného počtu </w:t>
      </w:r>
    </w:p>
    <w:p w:rsidR="00AD1700" w:rsidRDefault="00AD1700" w:rsidP="000F119F">
      <w:pPr>
        <w:jc w:val="both"/>
        <w:rPr>
          <w:rFonts w:asciiTheme="minorHAnsi" w:hAnsiTheme="minorHAnsi" w:cs="Arial"/>
          <w:sz w:val="16"/>
          <w:szCs w:val="16"/>
        </w:rPr>
      </w:pPr>
    </w:p>
    <w:p w:rsidR="006C6502" w:rsidRPr="008262CC" w:rsidRDefault="006C6502" w:rsidP="000F119F">
      <w:pPr>
        <w:jc w:val="both"/>
        <w:rPr>
          <w:rFonts w:asciiTheme="minorHAnsi" w:hAnsiTheme="minorHAnsi" w:cs="Arial"/>
          <w:sz w:val="16"/>
          <w:szCs w:val="16"/>
        </w:rPr>
      </w:pPr>
    </w:p>
    <w:p w:rsidR="00EB471E" w:rsidRPr="008262CC" w:rsidRDefault="00CB67A7" w:rsidP="00FD1CD7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strategická </w:t>
      </w:r>
      <w:r w:rsidR="00EB471E" w:rsidRPr="008262CC">
        <w:rPr>
          <w:rFonts w:asciiTheme="minorHAnsi" w:hAnsiTheme="minorHAnsi" w:cs="Arial"/>
          <w:sz w:val="20"/>
          <w:szCs w:val="20"/>
        </w:rPr>
        <w:t xml:space="preserve">průmyslová zóna </w:t>
      </w:r>
      <w:r w:rsidR="00567EFA" w:rsidRPr="008262CC">
        <w:rPr>
          <w:rFonts w:asciiTheme="minorHAnsi" w:hAnsiTheme="minorHAnsi" w:cs="Arial"/>
          <w:sz w:val="20"/>
          <w:szCs w:val="20"/>
        </w:rPr>
        <w:t xml:space="preserve">o rozloze cca 200 ha </w:t>
      </w:r>
      <w:r>
        <w:rPr>
          <w:rFonts w:asciiTheme="minorHAnsi" w:hAnsiTheme="minorHAnsi" w:cs="Arial"/>
          <w:sz w:val="20"/>
          <w:szCs w:val="20"/>
        </w:rPr>
        <w:t>je součástí průmyslového areálu o celkové ploše 292 ha</w:t>
      </w:r>
      <w:r w:rsidR="00A74306">
        <w:rPr>
          <w:rFonts w:asciiTheme="minorHAnsi" w:hAnsiTheme="minorHAnsi" w:cs="Arial"/>
          <w:sz w:val="20"/>
          <w:szCs w:val="20"/>
        </w:rPr>
        <w:t xml:space="preserve">; </w:t>
      </w:r>
      <w:r w:rsidR="00B70FAD">
        <w:rPr>
          <w:rFonts w:asciiTheme="minorHAnsi" w:hAnsiTheme="minorHAnsi" w:cs="Arial"/>
          <w:sz w:val="20"/>
          <w:szCs w:val="20"/>
        </w:rPr>
        <w:t xml:space="preserve">výstavba technické infrastruktury probíhající zejména v letech 2007 - 2012 ve Strategické průmyslové zóně Ostrava - Mošnov byla podporována z dotačního Programu na podporu podnikatelských nemovitostí a infrastruktury pod záštitou </w:t>
      </w:r>
      <w:r w:rsidR="00B70FAD" w:rsidRPr="008262CC">
        <w:rPr>
          <w:rFonts w:asciiTheme="minorHAnsi" w:hAnsiTheme="minorHAnsi" w:cs="Arial"/>
          <w:sz w:val="20"/>
          <w:szCs w:val="20"/>
        </w:rPr>
        <w:t>Minis</w:t>
      </w:r>
      <w:r w:rsidR="00B70FAD">
        <w:rPr>
          <w:rFonts w:asciiTheme="minorHAnsi" w:hAnsiTheme="minorHAnsi" w:cs="Arial"/>
          <w:sz w:val="20"/>
          <w:szCs w:val="20"/>
        </w:rPr>
        <w:t>terstva průmyslu a obchodu ČR</w:t>
      </w:r>
      <w:r w:rsidR="00A93681">
        <w:rPr>
          <w:rFonts w:asciiTheme="minorHAnsi" w:hAnsiTheme="minorHAnsi" w:cs="Arial"/>
          <w:sz w:val="20"/>
          <w:szCs w:val="20"/>
        </w:rPr>
        <w:t xml:space="preserve"> a nyní běží udržitelnost projektu, a to min. do 31. 12. 2026;</w:t>
      </w:r>
    </w:p>
    <w:p w:rsidR="00E841EA" w:rsidRDefault="00A93681" w:rsidP="0079753E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díky investičním pobídkám státu v tzv. zvýhodněných průmyslových zónách a výhodné dopravní poloze je převážná část strategické průmyslové zóny již naplněna a volná kapacita pro vstup nových investorů činí již pouze 56 ha, z toho jde o ucelenou plochu pod realizovaným multimodálním centrem o velikosti 50 ha (tzv. plocha „K“) a zbývající plochu navazující severně na investora </w:t>
      </w:r>
      <w:proofErr w:type="spellStart"/>
      <w:r>
        <w:rPr>
          <w:rFonts w:asciiTheme="minorHAnsi" w:hAnsiTheme="minorHAnsi" w:cs="Arial"/>
          <w:sz w:val="20"/>
          <w:szCs w:val="20"/>
        </w:rPr>
        <w:t>Mobis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(tzv. plocha „B“)</w:t>
      </w:r>
      <w:r w:rsidR="00C31DEC">
        <w:rPr>
          <w:rFonts w:asciiTheme="minorHAnsi" w:hAnsiTheme="minorHAnsi" w:cs="Arial"/>
          <w:sz w:val="20"/>
          <w:szCs w:val="20"/>
        </w:rPr>
        <w:t xml:space="preserve">; 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výše investovaných prostředků ze strany společností umístěných v lokalitě SPZ </w:t>
      </w:r>
      <w:r w:rsidR="006A7E4A" w:rsidRPr="00C76F7D">
        <w:rPr>
          <w:rFonts w:asciiTheme="minorHAnsi" w:hAnsiTheme="minorHAnsi" w:cs="Arial"/>
          <w:b/>
          <w:sz w:val="20"/>
          <w:szCs w:val="20"/>
        </w:rPr>
        <w:t xml:space="preserve">činila </w:t>
      </w:r>
      <w:r w:rsidR="00A87994" w:rsidRPr="00C76F7D">
        <w:rPr>
          <w:rFonts w:asciiTheme="minorHAnsi" w:hAnsiTheme="minorHAnsi" w:cs="Arial"/>
          <w:b/>
          <w:sz w:val="20"/>
          <w:szCs w:val="20"/>
        </w:rPr>
        <w:t>k</w:t>
      </w:r>
      <w:r w:rsidR="001771AD">
        <w:rPr>
          <w:rFonts w:asciiTheme="minorHAnsi" w:hAnsiTheme="minorHAnsi" w:cs="Arial"/>
          <w:b/>
          <w:sz w:val="20"/>
          <w:szCs w:val="20"/>
        </w:rPr>
        <w:t> 31. 12. 2019</w:t>
      </w:r>
      <w:r w:rsidR="00A87994" w:rsidRPr="00C76F7D">
        <w:rPr>
          <w:rFonts w:asciiTheme="minorHAnsi" w:hAnsiTheme="minorHAnsi" w:cs="Arial"/>
          <w:b/>
          <w:sz w:val="20"/>
          <w:szCs w:val="20"/>
        </w:rPr>
        <w:t xml:space="preserve"> </w:t>
      </w:r>
      <w:r w:rsidR="00A74306" w:rsidRPr="00C76F7D">
        <w:rPr>
          <w:rFonts w:asciiTheme="minorHAnsi" w:hAnsiTheme="minorHAnsi" w:cs="Arial"/>
          <w:b/>
          <w:sz w:val="20"/>
          <w:szCs w:val="20"/>
        </w:rPr>
        <w:t xml:space="preserve">cca </w:t>
      </w:r>
      <w:r w:rsidR="0079753E" w:rsidRPr="00C76F7D">
        <w:rPr>
          <w:rFonts w:asciiTheme="minorHAnsi" w:hAnsiTheme="minorHAnsi" w:cs="Arial"/>
          <w:b/>
          <w:sz w:val="20"/>
          <w:szCs w:val="20"/>
        </w:rPr>
        <w:t>14,</w:t>
      </w:r>
      <w:r w:rsidR="001771AD">
        <w:rPr>
          <w:rFonts w:asciiTheme="minorHAnsi" w:hAnsiTheme="minorHAnsi" w:cs="Arial"/>
          <w:b/>
          <w:sz w:val="20"/>
          <w:szCs w:val="20"/>
        </w:rPr>
        <w:t>6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 mld. Kč</w:t>
      </w:r>
      <w:r w:rsidR="00802B4A" w:rsidRPr="00C76F7D">
        <w:rPr>
          <w:rFonts w:asciiTheme="minorHAnsi" w:hAnsiTheme="minorHAnsi" w:cs="Arial"/>
          <w:b/>
          <w:sz w:val="20"/>
          <w:szCs w:val="20"/>
        </w:rPr>
        <w:t xml:space="preserve"> </w:t>
      </w:r>
      <w:r w:rsidR="00C31DEC" w:rsidRPr="00C76F7D">
        <w:rPr>
          <w:rFonts w:asciiTheme="minorHAnsi" w:hAnsiTheme="minorHAnsi" w:cs="Arial"/>
          <w:b/>
          <w:sz w:val="20"/>
          <w:szCs w:val="20"/>
        </w:rPr>
        <w:t xml:space="preserve">a </w:t>
      </w:r>
      <w:r w:rsidR="0079753E" w:rsidRPr="00C76F7D">
        <w:rPr>
          <w:rFonts w:asciiTheme="minorHAnsi" w:hAnsiTheme="minorHAnsi" w:cs="Arial"/>
          <w:b/>
          <w:sz w:val="20"/>
          <w:szCs w:val="20"/>
        </w:rPr>
        <w:t xml:space="preserve">ke sledovanému datu bylo evidováno </w:t>
      </w:r>
      <w:r w:rsidR="001771AD">
        <w:rPr>
          <w:rFonts w:asciiTheme="minorHAnsi" w:hAnsiTheme="minorHAnsi" w:cs="Arial"/>
          <w:b/>
          <w:sz w:val="20"/>
          <w:szCs w:val="20"/>
        </w:rPr>
        <w:t>3 903</w:t>
      </w:r>
      <w:r w:rsidR="0079753E" w:rsidRPr="00C76F7D">
        <w:rPr>
          <w:rFonts w:asciiTheme="minorHAnsi" w:hAnsiTheme="minorHAnsi" w:cs="Arial"/>
          <w:b/>
          <w:sz w:val="20"/>
          <w:szCs w:val="20"/>
        </w:rPr>
        <w:t xml:space="preserve"> pracovních </w:t>
      </w:r>
      <w:r w:rsidR="001771AD">
        <w:rPr>
          <w:rFonts w:asciiTheme="minorHAnsi" w:hAnsiTheme="minorHAnsi" w:cs="Arial"/>
          <w:b/>
          <w:sz w:val="20"/>
          <w:szCs w:val="20"/>
        </w:rPr>
        <w:t>míst</w:t>
      </w:r>
      <w:r w:rsidR="005D325E">
        <w:rPr>
          <w:rFonts w:asciiTheme="minorHAnsi" w:hAnsiTheme="minorHAnsi" w:cs="Arial"/>
          <w:sz w:val="20"/>
          <w:szCs w:val="20"/>
        </w:rPr>
        <w:t xml:space="preserve">; </w:t>
      </w:r>
      <w:r w:rsidR="00242698">
        <w:rPr>
          <w:rFonts w:asciiTheme="minorHAnsi" w:hAnsiTheme="minorHAnsi" w:cs="Arial"/>
          <w:sz w:val="20"/>
          <w:szCs w:val="20"/>
        </w:rPr>
        <w:t xml:space="preserve">za poslední období došlo k poklesu </w:t>
      </w:r>
      <w:r w:rsidR="008C282D">
        <w:rPr>
          <w:rFonts w:asciiTheme="minorHAnsi" w:hAnsiTheme="minorHAnsi" w:cs="Arial"/>
          <w:sz w:val="20"/>
          <w:szCs w:val="20"/>
        </w:rPr>
        <w:t xml:space="preserve">zaměstnanosti </w:t>
      </w:r>
      <w:r w:rsidR="007519B6">
        <w:rPr>
          <w:rFonts w:asciiTheme="minorHAnsi" w:hAnsiTheme="minorHAnsi" w:cs="Arial"/>
          <w:sz w:val="20"/>
          <w:szCs w:val="20"/>
        </w:rPr>
        <w:t>spojenému s poklesem ekonomického růstu</w:t>
      </w:r>
      <w:r w:rsidR="008C282D">
        <w:rPr>
          <w:rFonts w:asciiTheme="minorHAnsi" w:hAnsiTheme="minorHAnsi" w:cs="Arial"/>
          <w:sz w:val="20"/>
          <w:szCs w:val="20"/>
        </w:rPr>
        <w:t xml:space="preserve"> v roce 2019, </w:t>
      </w:r>
      <w:r w:rsidR="006348C4">
        <w:rPr>
          <w:rFonts w:asciiTheme="minorHAnsi" w:hAnsiTheme="minorHAnsi" w:cs="Arial"/>
          <w:sz w:val="20"/>
          <w:szCs w:val="20"/>
        </w:rPr>
        <w:t>který se projevil</w:t>
      </w:r>
      <w:r w:rsidR="008C282D">
        <w:rPr>
          <w:rFonts w:asciiTheme="minorHAnsi" w:hAnsiTheme="minorHAnsi" w:cs="Arial"/>
          <w:sz w:val="20"/>
          <w:szCs w:val="20"/>
        </w:rPr>
        <w:t xml:space="preserve"> zejména v </w:t>
      </w:r>
      <w:proofErr w:type="spellStart"/>
      <w:r w:rsidR="008C282D">
        <w:rPr>
          <w:rFonts w:asciiTheme="minorHAnsi" w:hAnsiTheme="minorHAnsi" w:cs="Arial"/>
          <w:sz w:val="20"/>
          <w:szCs w:val="20"/>
        </w:rPr>
        <w:t>automotive</w:t>
      </w:r>
      <w:proofErr w:type="spellEnd"/>
      <w:r w:rsidR="008C282D">
        <w:rPr>
          <w:rFonts w:asciiTheme="minorHAnsi" w:hAnsiTheme="minorHAnsi" w:cs="Arial"/>
          <w:sz w:val="20"/>
          <w:szCs w:val="20"/>
        </w:rPr>
        <w:t xml:space="preserve"> průmyslu. </w:t>
      </w:r>
    </w:p>
    <w:p w:rsidR="00036ABE" w:rsidRDefault="006348C4" w:rsidP="008A42ED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plochu průmyslového areálu Mošnov tvoří kromě strategické průmyslové zóny lokalita tzv. obchodně-podnikatelského areálu o rozloze 20 ha s již existujícími objekty převážně ve vlastnictví města a tzv. Malá rozvojová zóna, která je technicky a majetkově připravována pro </w:t>
      </w:r>
      <w:r w:rsidR="00C364E6">
        <w:rPr>
          <w:rFonts w:asciiTheme="minorHAnsi" w:hAnsiTheme="minorHAnsi" w:cs="Arial"/>
          <w:sz w:val="20"/>
          <w:szCs w:val="20"/>
        </w:rPr>
        <w:t xml:space="preserve">vyhlášení developerské soutěže. Malá rozvojová zóna má aktuálně rozlohu 32 ha, ve sledovaném období probíhala příprava vzájemného darování pozemků s Moravskoslezským krajem, kdy po nabytí pozemků kraje se plocha </w:t>
      </w:r>
      <w:r w:rsidR="00760A24">
        <w:rPr>
          <w:rFonts w:asciiTheme="minorHAnsi" w:hAnsiTheme="minorHAnsi" w:cs="Arial"/>
          <w:sz w:val="20"/>
          <w:szCs w:val="20"/>
        </w:rPr>
        <w:t>této zóny</w:t>
      </w:r>
      <w:r w:rsidR="00C364E6">
        <w:rPr>
          <w:rFonts w:asciiTheme="minorHAnsi" w:hAnsiTheme="minorHAnsi" w:cs="Arial"/>
          <w:sz w:val="20"/>
          <w:szCs w:val="20"/>
        </w:rPr>
        <w:t xml:space="preserve"> navýší celkem na 39 ha. </w:t>
      </w:r>
    </w:p>
    <w:p w:rsidR="0096632A" w:rsidRPr="0075231A" w:rsidRDefault="00977476" w:rsidP="00036ABE">
      <w:pPr>
        <w:pStyle w:val="Zkladntext"/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962A2" w:rsidRPr="007E3FCA" w:rsidRDefault="007962A2" w:rsidP="0020761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E3FCA">
        <w:rPr>
          <w:rFonts w:asciiTheme="minorHAnsi" w:hAnsiTheme="minorHAnsi" w:cs="Arial"/>
          <w:b/>
          <w:sz w:val="22"/>
          <w:szCs w:val="22"/>
        </w:rPr>
        <w:t>Investoři</w:t>
      </w:r>
      <w:r w:rsidR="00A34C35">
        <w:rPr>
          <w:rFonts w:asciiTheme="minorHAnsi" w:hAnsiTheme="minorHAnsi" w:cs="Arial"/>
          <w:b/>
          <w:sz w:val="22"/>
          <w:szCs w:val="22"/>
        </w:rPr>
        <w:t>, Společnost pro využití letiště, Moravskoslezský kraj</w:t>
      </w:r>
    </w:p>
    <w:p w:rsidR="00997F53" w:rsidRDefault="003F6B6C" w:rsidP="00A73E31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97F53">
        <w:rPr>
          <w:rFonts w:asciiTheme="minorHAnsi" w:hAnsiTheme="minorHAnsi" w:cs="Arial"/>
          <w:b/>
          <w:sz w:val="20"/>
          <w:szCs w:val="20"/>
        </w:rPr>
        <w:t xml:space="preserve">OSTRAVA AIRPORT MULTIMODAL PARK s.r.o. </w:t>
      </w:r>
      <w:r w:rsidR="00FB7EF4">
        <w:rPr>
          <w:rFonts w:asciiTheme="minorHAnsi" w:hAnsiTheme="minorHAnsi" w:cs="Arial"/>
          <w:sz w:val="20"/>
          <w:szCs w:val="20"/>
        </w:rPr>
        <w:t>–</w:t>
      </w:r>
      <w:r w:rsidR="005549D7" w:rsidRPr="00997F53">
        <w:rPr>
          <w:rFonts w:asciiTheme="minorHAnsi" w:hAnsiTheme="minorHAnsi" w:cs="Arial"/>
          <w:sz w:val="20"/>
          <w:szCs w:val="20"/>
        </w:rPr>
        <w:t xml:space="preserve"> </w:t>
      </w:r>
      <w:r w:rsidR="00FB7EF4">
        <w:rPr>
          <w:rFonts w:asciiTheme="minorHAnsi" w:hAnsiTheme="minorHAnsi" w:cs="Arial"/>
          <w:sz w:val="20"/>
          <w:szCs w:val="20"/>
        </w:rPr>
        <w:t xml:space="preserve">v průběhu II. pololetí byla </w:t>
      </w:r>
      <w:r w:rsidR="00365D39">
        <w:rPr>
          <w:rFonts w:asciiTheme="minorHAnsi" w:hAnsiTheme="minorHAnsi" w:cs="Arial"/>
          <w:sz w:val="20"/>
          <w:szCs w:val="20"/>
        </w:rPr>
        <w:t>počátkem prosince</w:t>
      </w:r>
      <w:r w:rsidR="00FB7EF4" w:rsidRPr="00365D39">
        <w:rPr>
          <w:rFonts w:asciiTheme="minorHAnsi" w:hAnsiTheme="minorHAnsi" w:cs="Arial"/>
          <w:sz w:val="20"/>
          <w:szCs w:val="20"/>
        </w:rPr>
        <w:t xml:space="preserve"> </w:t>
      </w:r>
      <w:r w:rsidR="00FB7EF4">
        <w:rPr>
          <w:rFonts w:asciiTheme="minorHAnsi" w:hAnsiTheme="minorHAnsi" w:cs="Arial"/>
          <w:sz w:val="20"/>
          <w:szCs w:val="20"/>
        </w:rPr>
        <w:t>podepsána</w:t>
      </w:r>
      <w:r w:rsidR="005F500C">
        <w:rPr>
          <w:rFonts w:asciiTheme="minorHAnsi" w:hAnsiTheme="minorHAnsi" w:cs="Arial"/>
          <w:sz w:val="20"/>
          <w:szCs w:val="20"/>
        </w:rPr>
        <w:t xml:space="preserve"> Kupní smlouva mezi městem a investorem na poz</w:t>
      </w:r>
      <w:r w:rsidR="00FB7EF4">
        <w:rPr>
          <w:rFonts w:asciiTheme="minorHAnsi" w:hAnsiTheme="minorHAnsi" w:cs="Arial"/>
          <w:sz w:val="20"/>
          <w:szCs w:val="20"/>
        </w:rPr>
        <w:t>emky zahrnuté do I. etapy výstavby, v </w:t>
      </w:r>
      <w:proofErr w:type="gramStart"/>
      <w:r w:rsidR="00FB7EF4">
        <w:rPr>
          <w:rFonts w:asciiTheme="minorHAnsi" w:hAnsiTheme="minorHAnsi" w:cs="Arial"/>
          <w:sz w:val="20"/>
          <w:szCs w:val="20"/>
        </w:rPr>
        <w:t>rámci</w:t>
      </w:r>
      <w:proofErr w:type="gramEnd"/>
      <w:r w:rsidR="00FB7EF4">
        <w:rPr>
          <w:rFonts w:asciiTheme="minorHAnsi" w:hAnsiTheme="minorHAnsi" w:cs="Arial"/>
          <w:sz w:val="20"/>
          <w:szCs w:val="20"/>
        </w:rPr>
        <w:t xml:space="preserve"> které došlo k vybudování Haly 1 (SO 02 a SO 06). Na přelomu loňského roku byly uzavřeny s mateřskou společností a dceřinými společnostmi OAMP </w:t>
      </w:r>
      <w:proofErr w:type="spellStart"/>
      <w:r w:rsidR="00FB7EF4">
        <w:rPr>
          <w:rFonts w:asciiTheme="minorHAnsi" w:hAnsiTheme="minorHAnsi" w:cs="Arial"/>
          <w:sz w:val="20"/>
          <w:szCs w:val="20"/>
        </w:rPr>
        <w:t>Hall</w:t>
      </w:r>
      <w:proofErr w:type="spellEnd"/>
      <w:r w:rsidR="00FB7EF4">
        <w:rPr>
          <w:rFonts w:asciiTheme="minorHAnsi" w:hAnsiTheme="minorHAnsi" w:cs="Arial"/>
          <w:sz w:val="20"/>
          <w:szCs w:val="20"/>
        </w:rPr>
        <w:t xml:space="preserve"> 2, OAMP </w:t>
      </w:r>
      <w:proofErr w:type="spellStart"/>
      <w:r w:rsidR="00FB7EF4">
        <w:rPr>
          <w:rFonts w:asciiTheme="minorHAnsi" w:hAnsiTheme="minorHAnsi" w:cs="Arial"/>
          <w:sz w:val="20"/>
          <w:szCs w:val="20"/>
        </w:rPr>
        <w:t>Hall</w:t>
      </w:r>
      <w:proofErr w:type="spellEnd"/>
      <w:r w:rsidR="00FB7EF4">
        <w:rPr>
          <w:rFonts w:asciiTheme="minorHAnsi" w:hAnsiTheme="minorHAnsi" w:cs="Arial"/>
          <w:sz w:val="20"/>
          <w:szCs w:val="20"/>
        </w:rPr>
        <w:t xml:space="preserve"> 3 a OAMP </w:t>
      </w:r>
      <w:proofErr w:type="spellStart"/>
      <w:r w:rsidR="00FB7EF4">
        <w:rPr>
          <w:rFonts w:asciiTheme="minorHAnsi" w:hAnsiTheme="minorHAnsi" w:cs="Arial"/>
          <w:sz w:val="20"/>
          <w:szCs w:val="20"/>
        </w:rPr>
        <w:t>Hall</w:t>
      </w:r>
      <w:proofErr w:type="spellEnd"/>
      <w:r w:rsidR="00FB7EF4">
        <w:rPr>
          <w:rFonts w:asciiTheme="minorHAnsi" w:hAnsiTheme="minorHAnsi" w:cs="Arial"/>
          <w:sz w:val="20"/>
          <w:szCs w:val="20"/>
        </w:rPr>
        <w:t xml:space="preserve"> 4 rovněž kupní smlouvy na pozemky určené k výstavbě II. etapy Centra. Tento postup byl umožněn dodatkem č. 5 k původní </w:t>
      </w:r>
      <w:r w:rsidR="00141E18">
        <w:rPr>
          <w:rFonts w:asciiTheme="minorHAnsi" w:hAnsiTheme="minorHAnsi" w:cs="Arial"/>
          <w:sz w:val="20"/>
          <w:szCs w:val="20"/>
        </w:rPr>
        <w:t>Smlouvě o budoucích smlouvách o koupi pozemků</w:t>
      </w:r>
      <w:r w:rsidR="00FB7EF4">
        <w:rPr>
          <w:rFonts w:asciiTheme="minorHAnsi" w:hAnsiTheme="minorHAnsi" w:cs="Arial"/>
          <w:sz w:val="20"/>
          <w:szCs w:val="20"/>
        </w:rPr>
        <w:t xml:space="preserve">, který mimo jiné umožňuje odkup pozemků již po nabytí pravomocného stavebního povolení (předchozí smluvní úprava vázala převod pozemků na kolaudační rozhodnutí). </w:t>
      </w:r>
      <w:r w:rsidR="00480269">
        <w:rPr>
          <w:rFonts w:asciiTheme="minorHAnsi" w:hAnsiTheme="minorHAnsi" w:cs="Arial"/>
          <w:sz w:val="20"/>
          <w:szCs w:val="20"/>
        </w:rPr>
        <w:t xml:space="preserve">Celkem bylo investorovi </w:t>
      </w:r>
      <w:r w:rsidR="009C6EC8">
        <w:rPr>
          <w:rFonts w:asciiTheme="minorHAnsi" w:hAnsiTheme="minorHAnsi" w:cs="Arial"/>
          <w:sz w:val="20"/>
          <w:szCs w:val="20"/>
        </w:rPr>
        <w:t xml:space="preserve">dosud </w:t>
      </w:r>
      <w:r w:rsidR="00480269">
        <w:rPr>
          <w:rFonts w:asciiTheme="minorHAnsi" w:hAnsiTheme="minorHAnsi" w:cs="Arial"/>
          <w:sz w:val="20"/>
          <w:szCs w:val="20"/>
        </w:rPr>
        <w:t xml:space="preserve">prodáno 29,13 ha plochy. </w:t>
      </w:r>
    </w:p>
    <w:p w:rsidR="00723365" w:rsidRDefault="00FB7EF4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723365">
        <w:rPr>
          <w:rFonts w:asciiTheme="minorHAnsi" w:hAnsiTheme="minorHAnsi" w:cs="Arial"/>
          <w:sz w:val="20"/>
          <w:szCs w:val="20"/>
        </w:rPr>
        <w:t xml:space="preserve">Výstavba hal v rámci II. etapy </w:t>
      </w:r>
      <w:r w:rsidR="00141E18">
        <w:rPr>
          <w:rFonts w:asciiTheme="minorHAnsi" w:hAnsiTheme="minorHAnsi" w:cs="Arial"/>
          <w:sz w:val="20"/>
          <w:szCs w:val="20"/>
        </w:rPr>
        <w:t>aktuálně</w:t>
      </w:r>
      <w:r w:rsidRPr="00723365">
        <w:rPr>
          <w:rFonts w:asciiTheme="minorHAnsi" w:hAnsiTheme="minorHAnsi" w:cs="Arial"/>
          <w:sz w:val="20"/>
          <w:szCs w:val="20"/>
        </w:rPr>
        <w:t xml:space="preserve"> probíhá, </w:t>
      </w:r>
      <w:r w:rsidR="00723365" w:rsidRPr="005A10A4">
        <w:rPr>
          <w:rFonts w:asciiTheme="minorHAnsi" w:hAnsiTheme="minorHAnsi" w:cs="Arial"/>
          <w:sz w:val="20"/>
          <w:szCs w:val="20"/>
        </w:rPr>
        <w:t>Hal</w:t>
      </w:r>
      <w:r w:rsidR="005A10A4" w:rsidRPr="005A10A4">
        <w:rPr>
          <w:rFonts w:asciiTheme="minorHAnsi" w:hAnsiTheme="minorHAnsi" w:cs="Arial"/>
          <w:sz w:val="20"/>
          <w:szCs w:val="20"/>
        </w:rPr>
        <w:t>a</w:t>
      </w:r>
      <w:r w:rsidR="00723365" w:rsidRPr="005A10A4">
        <w:rPr>
          <w:rFonts w:asciiTheme="minorHAnsi" w:hAnsiTheme="minorHAnsi" w:cs="Arial"/>
          <w:sz w:val="20"/>
          <w:szCs w:val="20"/>
        </w:rPr>
        <w:t xml:space="preserve"> 2 (SO 01) o rozloze 48 864 m</w:t>
      </w:r>
      <w:r w:rsidR="00723365" w:rsidRPr="005A10A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723365" w:rsidRPr="005A10A4">
        <w:rPr>
          <w:rFonts w:asciiTheme="minorHAnsi" w:hAnsiTheme="minorHAnsi" w:cs="Arial"/>
          <w:sz w:val="20"/>
          <w:szCs w:val="20"/>
        </w:rPr>
        <w:t xml:space="preserve"> </w:t>
      </w:r>
      <w:r w:rsidR="005A10A4" w:rsidRPr="005A10A4">
        <w:rPr>
          <w:rFonts w:asciiTheme="minorHAnsi" w:hAnsiTheme="minorHAnsi" w:cs="Arial"/>
          <w:sz w:val="20"/>
          <w:szCs w:val="20"/>
        </w:rPr>
        <w:t>byla v únoru 2020 dokončena – v březnu 2020 proběhne částečná kolaudace (nájemní jednotka cca 7 000 m</w:t>
      </w:r>
      <w:r w:rsidR="005A10A4" w:rsidRPr="005A10A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5A10A4" w:rsidRPr="005A10A4">
        <w:rPr>
          <w:rFonts w:asciiTheme="minorHAnsi" w:hAnsiTheme="minorHAnsi" w:cs="Arial"/>
          <w:sz w:val="20"/>
          <w:szCs w:val="20"/>
        </w:rPr>
        <w:t xml:space="preserve">, </w:t>
      </w:r>
      <w:r w:rsidR="005A10A4">
        <w:rPr>
          <w:rFonts w:asciiTheme="minorHAnsi" w:hAnsiTheme="minorHAnsi" w:cs="Arial"/>
          <w:sz w:val="20"/>
          <w:szCs w:val="20"/>
        </w:rPr>
        <w:t>opláštění</w:t>
      </w:r>
      <w:r w:rsidR="005A10A4" w:rsidRPr="005A10A4">
        <w:rPr>
          <w:rFonts w:asciiTheme="minorHAnsi" w:hAnsiTheme="minorHAnsi" w:cs="Arial"/>
          <w:sz w:val="20"/>
          <w:szCs w:val="20"/>
        </w:rPr>
        <w:t xml:space="preserve"> objektu, trafostanice)</w:t>
      </w:r>
      <w:r w:rsidR="00723365" w:rsidRPr="00723365">
        <w:rPr>
          <w:rFonts w:asciiTheme="minorHAnsi" w:hAnsiTheme="minorHAnsi" w:cs="Arial"/>
          <w:sz w:val="20"/>
          <w:szCs w:val="20"/>
        </w:rPr>
        <w:t>, Hala 3 (SO 05) o rozloze 18 969 m</w:t>
      </w:r>
      <w:r w:rsidR="00723365" w:rsidRPr="00723365">
        <w:rPr>
          <w:rFonts w:asciiTheme="minorHAnsi" w:hAnsiTheme="minorHAnsi" w:cs="Arial"/>
          <w:sz w:val="20"/>
          <w:szCs w:val="20"/>
          <w:vertAlign w:val="superscript"/>
        </w:rPr>
        <w:t xml:space="preserve">2 </w:t>
      </w:r>
      <w:r w:rsidR="00723365" w:rsidRPr="00723365">
        <w:rPr>
          <w:rFonts w:asciiTheme="minorHAnsi" w:hAnsiTheme="minorHAnsi" w:cs="Arial"/>
          <w:sz w:val="20"/>
          <w:szCs w:val="20"/>
        </w:rPr>
        <w:t xml:space="preserve">má být dokončena v červenci 2020 a také Hala 4 (SO 08) </w:t>
      </w:r>
      <w:r w:rsidR="00723365">
        <w:rPr>
          <w:rFonts w:asciiTheme="minorHAnsi" w:hAnsiTheme="minorHAnsi" w:cs="Arial"/>
          <w:sz w:val="20"/>
          <w:szCs w:val="20"/>
        </w:rPr>
        <w:t>o rozloze 12 288 m</w:t>
      </w:r>
      <w:r w:rsidR="0072336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723365">
        <w:rPr>
          <w:rFonts w:asciiTheme="minorHAnsi" w:hAnsiTheme="minorHAnsi" w:cs="Arial"/>
          <w:sz w:val="20"/>
          <w:szCs w:val="20"/>
        </w:rPr>
        <w:t xml:space="preserve"> má předpokládaný termín dokončení červenec 2020.</w:t>
      </w:r>
    </w:p>
    <w:p w:rsidR="00723365" w:rsidRPr="00723365" w:rsidRDefault="00723365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III. etapa výstavby zahrnuje stavbu železničního kontejnerového terminálu, na který investor získal dotaci z Operačního programu Doprava 2014-2020. Ve sledovaném období probíhala jednání mezi městem, investorem </w:t>
      </w:r>
      <w:r>
        <w:rPr>
          <w:rFonts w:asciiTheme="minorHAnsi" w:hAnsiTheme="minorHAnsi" w:cs="Arial"/>
          <w:sz w:val="20"/>
          <w:szCs w:val="20"/>
        </w:rPr>
        <w:lastRenderedPageBreak/>
        <w:t>OAMP, investorem EN</w:t>
      </w:r>
      <w:r w:rsidR="00376C28">
        <w:rPr>
          <w:rFonts w:asciiTheme="minorHAnsi" w:hAnsiTheme="minorHAnsi" w:cs="Arial"/>
          <w:sz w:val="20"/>
          <w:szCs w:val="20"/>
        </w:rPr>
        <w:t xml:space="preserve">ES </w:t>
      </w:r>
      <w:proofErr w:type="spellStart"/>
      <w:r w:rsidR="00376C28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376C28">
        <w:rPr>
          <w:rFonts w:asciiTheme="minorHAnsi" w:hAnsiTheme="minorHAnsi" w:cs="Arial"/>
          <w:sz w:val="20"/>
          <w:szCs w:val="20"/>
        </w:rPr>
        <w:t xml:space="preserve"> a. s. a Moravskoslezským krajem o možném přemístění společnosti ENES </w:t>
      </w:r>
      <w:proofErr w:type="spellStart"/>
      <w:r w:rsidR="00376C28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376C28">
        <w:rPr>
          <w:rFonts w:asciiTheme="minorHAnsi" w:hAnsiTheme="minorHAnsi" w:cs="Arial"/>
          <w:sz w:val="20"/>
          <w:szCs w:val="20"/>
        </w:rPr>
        <w:t xml:space="preserve"> </w:t>
      </w:r>
      <w:r w:rsidR="00480269">
        <w:rPr>
          <w:rFonts w:asciiTheme="minorHAnsi" w:hAnsiTheme="minorHAnsi" w:cs="Arial"/>
          <w:sz w:val="20"/>
          <w:szCs w:val="20"/>
        </w:rPr>
        <w:br/>
      </w:r>
      <w:r w:rsidR="00376C28">
        <w:rPr>
          <w:rFonts w:asciiTheme="minorHAnsi" w:hAnsiTheme="minorHAnsi" w:cs="Arial"/>
          <w:sz w:val="20"/>
          <w:szCs w:val="20"/>
        </w:rPr>
        <w:t>na pozemky Moravskoslezského kraje z důvodu lepšího přístupu k letištní dráze ve vztahu k</w:t>
      </w:r>
      <w:r w:rsidR="00892FCA">
        <w:rPr>
          <w:rFonts w:asciiTheme="minorHAnsi" w:hAnsiTheme="minorHAnsi" w:cs="Arial"/>
          <w:sz w:val="20"/>
          <w:szCs w:val="20"/>
        </w:rPr>
        <w:t xml:space="preserve"> předmětu činnosti společnosti - provozování leteckého </w:t>
      </w:r>
      <w:proofErr w:type="spellStart"/>
      <w:r w:rsidR="00892FCA">
        <w:rPr>
          <w:rFonts w:asciiTheme="minorHAnsi" w:hAnsiTheme="minorHAnsi" w:cs="Arial"/>
          <w:sz w:val="20"/>
          <w:szCs w:val="20"/>
        </w:rPr>
        <w:t>carga</w:t>
      </w:r>
      <w:proofErr w:type="spellEnd"/>
      <w:r w:rsidR="00376C28">
        <w:rPr>
          <w:rFonts w:asciiTheme="minorHAnsi" w:hAnsiTheme="minorHAnsi" w:cs="Arial"/>
          <w:sz w:val="20"/>
          <w:szCs w:val="20"/>
        </w:rPr>
        <w:t xml:space="preserve"> a </w:t>
      </w:r>
      <w:r w:rsidR="00AC40BD">
        <w:rPr>
          <w:rFonts w:asciiTheme="minorHAnsi" w:hAnsiTheme="minorHAnsi" w:cs="Arial"/>
          <w:sz w:val="20"/>
          <w:szCs w:val="20"/>
        </w:rPr>
        <w:t xml:space="preserve">o </w:t>
      </w:r>
      <w:r w:rsidR="00376C28">
        <w:rPr>
          <w:rFonts w:asciiTheme="minorHAnsi" w:hAnsiTheme="minorHAnsi" w:cs="Arial"/>
          <w:sz w:val="20"/>
          <w:szCs w:val="20"/>
        </w:rPr>
        <w:t xml:space="preserve">nabytí pozemků původně vlastněných společností ENES </w:t>
      </w:r>
      <w:proofErr w:type="spellStart"/>
      <w:r w:rsidR="00376C28">
        <w:rPr>
          <w:rFonts w:asciiTheme="minorHAnsi" w:hAnsiTheme="minorHAnsi" w:cs="Arial"/>
          <w:sz w:val="20"/>
          <w:szCs w:val="20"/>
        </w:rPr>
        <w:t>Cargo</w:t>
      </w:r>
      <w:proofErr w:type="spellEnd"/>
      <w:r w:rsidR="00376C28">
        <w:rPr>
          <w:rFonts w:asciiTheme="minorHAnsi" w:hAnsiTheme="minorHAnsi" w:cs="Arial"/>
          <w:sz w:val="20"/>
          <w:szCs w:val="20"/>
        </w:rPr>
        <w:t xml:space="preserve"> </w:t>
      </w:r>
      <w:r w:rsidR="00AC40BD">
        <w:rPr>
          <w:rFonts w:asciiTheme="minorHAnsi" w:hAnsiTheme="minorHAnsi" w:cs="Arial"/>
          <w:sz w:val="20"/>
          <w:szCs w:val="20"/>
        </w:rPr>
        <w:br/>
      </w:r>
      <w:r w:rsidR="00376C28">
        <w:rPr>
          <w:rFonts w:asciiTheme="minorHAnsi" w:hAnsiTheme="minorHAnsi" w:cs="Arial"/>
          <w:sz w:val="20"/>
          <w:szCs w:val="20"/>
        </w:rPr>
        <w:t xml:space="preserve">do vlastnictví investora OAMP, který tyto plochy navazující na jeho pozemky zasmluvněné budoucí smlouvou </w:t>
      </w:r>
      <w:r w:rsidR="00911CAD">
        <w:rPr>
          <w:rFonts w:asciiTheme="minorHAnsi" w:hAnsiTheme="minorHAnsi" w:cs="Arial"/>
          <w:sz w:val="20"/>
          <w:szCs w:val="20"/>
        </w:rPr>
        <w:br/>
      </w:r>
      <w:r w:rsidR="00376C28">
        <w:rPr>
          <w:rFonts w:asciiTheme="minorHAnsi" w:hAnsiTheme="minorHAnsi" w:cs="Arial"/>
          <w:sz w:val="20"/>
          <w:szCs w:val="20"/>
        </w:rPr>
        <w:t xml:space="preserve">s městem využije pro efektivní rozšíření areálu kontejnerového terminálu. </w:t>
      </w:r>
      <w:r w:rsidR="00207107">
        <w:rPr>
          <w:rFonts w:asciiTheme="minorHAnsi" w:hAnsiTheme="minorHAnsi" w:cs="Arial"/>
          <w:sz w:val="20"/>
          <w:szCs w:val="20"/>
        </w:rPr>
        <w:t>Pokud k tomuto převodu dá souhlas</w:t>
      </w:r>
      <w:r w:rsidR="00376C28">
        <w:rPr>
          <w:rFonts w:asciiTheme="minorHAnsi" w:hAnsiTheme="minorHAnsi" w:cs="Arial"/>
          <w:sz w:val="20"/>
          <w:szCs w:val="20"/>
        </w:rPr>
        <w:t xml:space="preserve"> poskytovatel dotace</w:t>
      </w:r>
      <w:r w:rsidR="00F7127A">
        <w:rPr>
          <w:rFonts w:asciiTheme="minorHAnsi" w:hAnsiTheme="minorHAnsi" w:cs="Arial"/>
          <w:sz w:val="20"/>
          <w:szCs w:val="20"/>
        </w:rPr>
        <w:t>, tj. Ministerstvo průmyslu a obchodu</w:t>
      </w:r>
      <w:r w:rsidR="00376C28">
        <w:rPr>
          <w:rFonts w:asciiTheme="minorHAnsi" w:hAnsiTheme="minorHAnsi" w:cs="Arial"/>
          <w:sz w:val="20"/>
          <w:szCs w:val="20"/>
        </w:rPr>
        <w:t xml:space="preserve">, je plánován na I. pol. r. 2020. </w:t>
      </w:r>
    </w:p>
    <w:p w:rsidR="007165F4" w:rsidRPr="007165F4" w:rsidRDefault="00F1085E" w:rsidP="00D90A9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7165F4">
        <w:rPr>
          <w:rFonts w:asciiTheme="minorHAnsi" w:hAnsiTheme="minorHAnsi" w:cs="Arial"/>
          <w:sz w:val="20"/>
          <w:szCs w:val="20"/>
        </w:rPr>
        <w:t>Výstavba</w:t>
      </w:r>
      <w:r w:rsidR="00C1208F" w:rsidRPr="007165F4">
        <w:rPr>
          <w:rFonts w:asciiTheme="minorHAnsi" w:hAnsiTheme="minorHAnsi" w:cs="Arial"/>
          <w:sz w:val="20"/>
          <w:szCs w:val="20"/>
        </w:rPr>
        <w:t xml:space="preserve"> </w:t>
      </w:r>
      <w:r w:rsidR="007E5FA4" w:rsidRPr="007165F4">
        <w:rPr>
          <w:rFonts w:asciiTheme="minorHAnsi" w:hAnsiTheme="minorHAnsi" w:cs="Arial"/>
          <w:sz w:val="20"/>
          <w:szCs w:val="20"/>
        </w:rPr>
        <w:t>logistického parku</w:t>
      </w:r>
      <w:r w:rsidR="00C1208F" w:rsidRPr="007165F4">
        <w:rPr>
          <w:rFonts w:asciiTheme="minorHAnsi" w:hAnsiTheme="minorHAnsi" w:cs="Arial"/>
          <w:sz w:val="20"/>
          <w:szCs w:val="20"/>
        </w:rPr>
        <w:t xml:space="preserve"> </w:t>
      </w:r>
      <w:r w:rsidR="002F4892" w:rsidRPr="007165F4">
        <w:rPr>
          <w:rFonts w:asciiTheme="minorHAnsi" w:hAnsiTheme="minorHAnsi" w:cs="Arial"/>
          <w:sz w:val="20"/>
          <w:szCs w:val="20"/>
        </w:rPr>
        <w:t>má být dle smlouvy realizována ve čtyřech etapách</w:t>
      </w:r>
      <w:r w:rsidR="000F1D4A" w:rsidRPr="007165F4">
        <w:rPr>
          <w:rFonts w:asciiTheme="minorHAnsi" w:hAnsiTheme="minorHAnsi" w:cs="Arial"/>
          <w:sz w:val="20"/>
          <w:szCs w:val="20"/>
        </w:rPr>
        <w:t>, kompletně má být areál dokončen do 12/2023 s min. objemem 155 000 m</w:t>
      </w:r>
      <w:r w:rsidR="000F1D4A" w:rsidRPr="007165F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0F1D4A" w:rsidRPr="007165F4">
        <w:rPr>
          <w:rFonts w:asciiTheme="minorHAnsi" w:hAnsiTheme="minorHAnsi" w:cs="Arial"/>
          <w:sz w:val="20"/>
          <w:szCs w:val="20"/>
        </w:rPr>
        <w:t xml:space="preserve"> skladových ploch</w:t>
      </w:r>
      <w:r w:rsidR="006620EA" w:rsidRPr="007165F4">
        <w:rPr>
          <w:rFonts w:asciiTheme="minorHAnsi" w:hAnsiTheme="minorHAnsi" w:cs="Arial"/>
          <w:sz w:val="20"/>
          <w:szCs w:val="20"/>
        </w:rPr>
        <w:t xml:space="preserve"> (předpoklad </w:t>
      </w:r>
      <w:r w:rsidR="004B700F" w:rsidRPr="007165F4">
        <w:rPr>
          <w:rFonts w:asciiTheme="minorHAnsi" w:hAnsiTheme="minorHAnsi" w:cs="Arial"/>
          <w:sz w:val="20"/>
          <w:szCs w:val="20"/>
        </w:rPr>
        <w:t xml:space="preserve">však </w:t>
      </w:r>
      <w:r w:rsidR="006620EA" w:rsidRPr="007165F4">
        <w:rPr>
          <w:rFonts w:asciiTheme="minorHAnsi" w:hAnsiTheme="minorHAnsi" w:cs="Arial"/>
          <w:sz w:val="20"/>
          <w:szCs w:val="20"/>
        </w:rPr>
        <w:t>činí 234 000 m</w:t>
      </w:r>
      <w:r w:rsidR="006620EA" w:rsidRPr="007165F4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="006620EA" w:rsidRPr="007165F4">
        <w:rPr>
          <w:rFonts w:asciiTheme="minorHAnsi" w:hAnsiTheme="minorHAnsi" w:cs="Arial"/>
          <w:sz w:val="20"/>
          <w:szCs w:val="20"/>
        </w:rPr>
        <w:t xml:space="preserve"> skladových, výrobních a kancelářských ploch)</w:t>
      </w:r>
      <w:r w:rsidR="000F1D4A" w:rsidRPr="007165F4">
        <w:rPr>
          <w:rFonts w:asciiTheme="minorHAnsi" w:hAnsiTheme="minorHAnsi" w:cs="Arial"/>
          <w:sz w:val="20"/>
          <w:szCs w:val="20"/>
        </w:rPr>
        <w:t>.</w:t>
      </w:r>
      <w:r w:rsidR="00EC5036" w:rsidRPr="007165F4">
        <w:rPr>
          <w:rFonts w:asciiTheme="minorHAnsi" w:hAnsiTheme="minorHAnsi" w:cs="Arial"/>
          <w:sz w:val="20"/>
          <w:szCs w:val="20"/>
        </w:rPr>
        <w:t xml:space="preserve"> </w:t>
      </w:r>
    </w:p>
    <w:p w:rsidR="005D073C" w:rsidRDefault="00114351" w:rsidP="00440435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114351">
        <w:rPr>
          <w:rFonts w:asciiTheme="minorHAnsi" w:hAnsiTheme="minorHAnsi" w:cs="Arial"/>
          <w:b/>
          <w:sz w:val="20"/>
          <w:szCs w:val="20"/>
        </w:rPr>
        <w:t>XZB (</w:t>
      </w:r>
      <w:proofErr w:type="spellStart"/>
      <w:r w:rsidRPr="00114351">
        <w:rPr>
          <w:rFonts w:asciiTheme="minorHAnsi" w:hAnsiTheme="minorHAnsi" w:cs="Arial"/>
          <w:b/>
          <w:sz w:val="20"/>
          <w:szCs w:val="20"/>
        </w:rPr>
        <w:t>Europe</w:t>
      </w:r>
      <w:proofErr w:type="spellEnd"/>
      <w:r w:rsidRPr="00114351">
        <w:rPr>
          <w:rFonts w:asciiTheme="minorHAnsi" w:hAnsiTheme="minorHAnsi" w:cs="Arial"/>
          <w:b/>
          <w:sz w:val="20"/>
          <w:szCs w:val="20"/>
        </w:rPr>
        <w:t>) s. r. o.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5D073C">
        <w:rPr>
          <w:rFonts w:asciiTheme="minorHAnsi" w:hAnsiTheme="minorHAnsi" w:cs="Arial"/>
          <w:sz w:val="20"/>
          <w:szCs w:val="20"/>
        </w:rPr>
        <w:t>–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C5499B">
        <w:rPr>
          <w:rFonts w:asciiTheme="minorHAnsi" w:hAnsiTheme="minorHAnsi" w:cs="Arial"/>
          <w:sz w:val="20"/>
          <w:szCs w:val="20"/>
        </w:rPr>
        <w:t>společnost</w:t>
      </w:r>
      <w:r w:rsidR="005D073C">
        <w:rPr>
          <w:rFonts w:asciiTheme="minorHAnsi" w:hAnsiTheme="minorHAnsi" w:cs="Arial"/>
          <w:sz w:val="20"/>
          <w:szCs w:val="20"/>
        </w:rPr>
        <w:t xml:space="preserve"> </w:t>
      </w:r>
      <w:r w:rsidR="00C5499B">
        <w:rPr>
          <w:rFonts w:asciiTheme="minorHAnsi" w:hAnsiTheme="minorHAnsi" w:cs="Arial"/>
          <w:sz w:val="20"/>
          <w:szCs w:val="20"/>
        </w:rPr>
        <w:t xml:space="preserve">nyní funguje v pronajatých prostorách v logistickém areálu ve vlastnictví MSK </w:t>
      </w:r>
      <w:r w:rsidR="00440435">
        <w:rPr>
          <w:rFonts w:asciiTheme="minorHAnsi" w:hAnsiTheme="minorHAnsi" w:cs="Arial"/>
          <w:sz w:val="20"/>
          <w:szCs w:val="20"/>
        </w:rPr>
        <w:br/>
      </w:r>
      <w:r w:rsidR="00C5499B">
        <w:rPr>
          <w:rFonts w:asciiTheme="minorHAnsi" w:hAnsiTheme="minorHAnsi" w:cs="Arial"/>
          <w:sz w:val="20"/>
          <w:szCs w:val="20"/>
        </w:rPr>
        <w:t>v Mošnově</w:t>
      </w:r>
      <w:r w:rsidR="00BF0F34">
        <w:rPr>
          <w:rFonts w:asciiTheme="minorHAnsi" w:hAnsiTheme="minorHAnsi" w:cs="Arial"/>
          <w:sz w:val="20"/>
          <w:szCs w:val="20"/>
        </w:rPr>
        <w:t>.</w:t>
      </w:r>
      <w:r w:rsidR="005D073C">
        <w:rPr>
          <w:rFonts w:asciiTheme="minorHAnsi" w:hAnsiTheme="minorHAnsi" w:cs="Arial"/>
          <w:sz w:val="20"/>
          <w:szCs w:val="20"/>
        </w:rPr>
        <w:t xml:space="preserve"> Ve sledovaném období úspěšně absolvovala čtyři zákaznické audity pro uvolnění závodů Škoda (potenciální analýza nového dodavatele pro koncern VW), </w:t>
      </w:r>
      <w:r w:rsidR="00440435">
        <w:rPr>
          <w:rFonts w:asciiTheme="minorHAnsi" w:hAnsiTheme="minorHAnsi" w:cs="Arial"/>
          <w:sz w:val="20"/>
          <w:szCs w:val="20"/>
        </w:rPr>
        <w:t xml:space="preserve">Audi (logistický audit nového dodavatele pro koncern VW), Volkswagen (dvoudenní výrobní audit pro uvolnění HLA linek) a PSA </w:t>
      </w:r>
      <w:r w:rsidR="00685E79">
        <w:rPr>
          <w:rFonts w:asciiTheme="minorHAnsi" w:hAnsiTheme="minorHAnsi" w:cs="Arial"/>
          <w:sz w:val="20"/>
          <w:szCs w:val="20"/>
        </w:rPr>
        <w:t>Peugeot Citro</w:t>
      </w:r>
      <w:r w:rsidR="00C51A63">
        <w:rPr>
          <w:rFonts w:asciiTheme="minorHAnsi" w:hAnsiTheme="minorHAnsi" w:cstheme="minorHAnsi"/>
          <w:sz w:val="20"/>
          <w:szCs w:val="20"/>
        </w:rPr>
        <w:t xml:space="preserve">ën </w:t>
      </w:r>
      <w:r w:rsidR="00440435">
        <w:rPr>
          <w:rFonts w:asciiTheme="minorHAnsi" w:hAnsiTheme="minorHAnsi" w:cs="Arial"/>
          <w:sz w:val="20"/>
          <w:szCs w:val="20"/>
        </w:rPr>
        <w:t xml:space="preserve">(QSB+ pro uvolnění nového dodavatele). Na základě těchto auditů společnost získala nové projekty pro VW, Audi a PSA, které naběhnou během r. 2020. První sériové dodávky z HLA linek jsou plánovány na duben 2020. Byl vybudován systém kvality, který bude certifikován v r. 2020 (IATF). </w:t>
      </w:r>
    </w:p>
    <w:p w:rsidR="00581BC9" w:rsidRDefault="00804BD6" w:rsidP="004D3675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Současně probíhá projektová příprava stavby nového závodu na pozemku pořízeném z vlastnictví města</w:t>
      </w:r>
      <w:r w:rsidR="004D3675">
        <w:rPr>
          <w:rFonts w:asciiTheme="minorHAnsi" w:hAnsiTheme="minorHAnsi" w:cs="Arial"/>
          <w:sz w:val="20"/>
          <w:szCs w:val="20"/>
        </w:rPr>
        <w:t xml:space="preserve"> o velikosti 1,93 ha. V prosinci 2019 společnost požádala o územní rozhodnutí a stavební povolení ve sloučeném řízení. </w:t>
      </w:r>
      <w:r w:rsidR="009A1A93">
        <w:rPr>
          <w:rFonts w:asciiTheme="minorHAnsi" w:hAnsiTheme="minorHAnsi" w:cs="Arial"/>
          <w:sz w:val="20"/>
          <w:szCs w:val="20"/>
        </w:rPr>
        <w:t xml:space="preserve"> </w:t>
      </w:r>
      <w:r w:rsidR="00E40504">
        <w:rPr>
          <w:rFonts w:asciiTheme="minorHAnsi" w:hAnsiTheme="minorHAnsi" w:cs="Arial"/>
          <w:sz w:val="20"/>
          <w:szCs w:val="20"/>
        </w:rPr>
        <w:t xml:space="preserve"> Investor se zavázal vytvořit min. 50 nových pracovních míst</w:t>
      </w:r>
      <w:r w:rsidR="00E37449">
        <w:rPr>
          <w:rFonts w:asciiTheme="minorHAnsi" w:hAnsiTheme="minorHAnsi" w:cs="Arial"/>
          <w:sz w:val="20"/>
          <w:szCs w:val="20"/>
        </w:rPr>
        <w:t xml:space="preserve"> (z toho 10 PM ve výzkumu a vývoji)</w:t>
      </w:r>
      <w:r w:rsidR="00E40504">
        <w:rPr>
          <w:rFonts w:asciiTheme="minorHAnsi" w:hAnsiTheme="minorHAnsi" w:cs="Arial"/>
          <w:sz w:val="20"/>
          <w:szCs w:val="20"/>
        </w:rPr>
        <w:t xml:space="preserve">, a to k datu 31. 12. 2024. </w:t>
      </w:r>
    </w:p>
    <w:p w:rsidR="00A92834" w:rsidRDefault="008D2FB6" w:rsidP="008A42ED">
      <w:pPr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Ve sledovaném období probíhala kontinuálně jednání s dalšími investory – zájemci o umístění do strategické průmyslové zóny, a to tzv. plochy „K“ o rozloze 50 ha a plochy „B“ o rozloze cca 6,5 ha. Došlo ke zpracování geometrického plánu pro plochu „K“ pro účely </w:t>
      </w:r>
      <w:r w:rsidR="00701621">
        <w:rPr>
          <w:rFonts w:asciiTheme="minorHAnsi" w:hAnsiTheme="minorHAnsi" w:cs="Arial"/>
          <w:sz w:val="20"/>
          <w:szCs w:val="20"/>
        </w:rPr>
        <w:t xml:space="preserve">vyhlášení záměru budoucího prodeje. V současné době město očekává doručení </w:t>
      </w:r>
      <w:proofErr w:type="gramStart"/>
      <w:r w:rsidR="00701621">
        <w:rPr>
          <w:rFonts w:asciiTheme="minorHAnsi" w:hAnsiTheme="minorHAnsi" w:cs="Arial"/>
          <w:sz w:val="20"/>
          <w:szCs w:val="20"/>
        </w:rPr>
        <w:t>dokumentů - vyslovení</w:t>
      </w:r>
      <w:proofErr w:type="gramEnd"/>
      <w:r w:rsidR="00701621">
        <w:rPr>
          <w:rFonts w:asciiTheme="minorHAnsi" w:hAnsiTheme="minorHAnsi" w:cs="Arial"/>
          <w:sz w:val="20"/>
          <w:szCs w:val="20"/>
        </w:rPr>
        <w:t xml:space="preserve"> zájmu o koupi pozemků plochy „K“ a prohlášení o záměru ze strany významného investora. Předmětem projednání ZM v 03/2020 budou záměry prodeje pozemků </w:t>
      </w:r>
      <w:r w:rsidR="00802C84">
        <w:rPr>
          <w:rFonts w:asciiTheme="minorHAnsi" w:hAnsiTheme="minorHAnsi" w:cs="Arial"/>
          <w:sz w:val="20"/>
          <w:szCs w:val="20"/>
        </w:rPr>
        <w:t xml:space="preserve">italskému investorovi IRCE </w:t>
      </w:r>
      <w:proofErr w:type="spellStart"/>
      <w:r w:rsidR="00802C84">
        <w:rPr>
          <w:rFonts w:asciiTheme="minorHAnsi" w:hAnsiTheme="minorHAnsi" w:cs="Arial"/>
          <w:sz w:val="20"/>
          <w:szCs w:val="20"/>
        </w:rPr>
        <w:t>s.p.A</w:t>
      </w:r>
      <w:proofErr w:type="spellEnd"/>
      <w:r w:rsidR="00802C84">
        <w:rPr>
          <w:rFonts w:asciiTheme="minorHAnsi" w:hAnsiTheme="minorHAnsi" w:cs="Arial"/>
          <w:sz w:val="20"/>
          <w:szCs w:val="20"/>
        </w:rPr>
        <w:t xml:space="preserve">. o rozloze 5 ha (výroba magnetických vinutých drátů z mědi a hliníku) a korejskému investorovi INFAC </w:t>
      </w:r>
      <w:proofErr w:type="spellStart"/>
      <w:r w:rsidR="00802C84">
        <w:rPr>
          <w:rFonts w:asciiTheme="minorHAnsi" w:hAnsiTheme="minorHAnsi" w:cs="Arial"/>
          <w:sz w:val="20"/>
          <w:szCs w:val="20"/>
        </w:rPr>
        <w:t>Corporation</w:t>
      </w:r>
      <w:proofErr w:type="spellEnd"/>
      <w:r w:rsidR="00802C84">
        <w:rPr>
          <w:rFonts w:asciiTheme="minorHAnsi" w:hAnsiTheme="minorHAnsi" w:cs="Arial"/>
          <w:sz w:val="20"/>
          <w:szCs w:val="20"/>
        </w:rPr>
        <w:t xml:space="preserve"> o rozloze cca 2,</w:t>
      </w:r>
      <w:r w:rsidR="000A04D4">
        <w:rPr>
          <w:rFonts w:asciiTheme="minorHAnsi" w:hAnsiTheme="minorHAnsi" w:cs="Arial"/>
          <w:sz w:val="20"/>
          <w:szCs w:val="20"/>
        </w:rPr>
        <w:t>6</w:t>
      </w:r>
      <w:r w:rsidR="00802C84">
        <w:rPr>
          <w:rFonts w:asciiTheme="minorHAnsi" w:hAnsiTheme="minorHAnsi" w:cs="Arial"/>
          <w:sz w:val="20"/>
          <w:szCs w:val="20"/>
        </w:rPr>
        <w:t xml:space="preserve"> ha (výroba sestav bateriových modulů BMA</w:t>
      </w:r>
      <w:r w:rsidR="00446562">
        <w:rPr>
          <w:rFonts w:asciiTheme="minorHAnsi" w:hAnsiTheme="minorHAnsi" w:cs="Arial"/>
          <w:sz w:val="20"/>
          <w:szCs w:val="20"/>
        </w:rPr>
        <w:t xml:space="preserve"> pro automobilový průmysl</w:t>
      </w:r>
      <w:r w:rsidR="00802C84">
        <w:rPr>
          <w:rFonts w:asciiTheme="minorHAnsi" w:hAnsiTheme="minorHAnsi" w:cs="Arial"/>
          <w:sz w:val="20"/>
          <w:szCs w:val="20"/>
        </w:rPr>
        <w:t xml:space="preserve">). </w:t>
      </w:r>
    </w:p>
    <w:p w:rsidR="00D87892" w:rsidRDefault="00D87892" w:rsidP="00D87892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Společnost pro využití letiště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Ostrava - Mošnov</w:t>
      </w:r>
      <w:proofErr w:type="gramEnd"/>
      <w:r>
        <w:rPr>
          <w:rFonts w:asciiTheme="minorHAnsi" w:hAnsiTheme="minorHAnsi" w:cs="Arial"/>
          <w:b/>
          <w:sz w:val="20"/>
          <w:szCs w:val="20"/>
        </w:rPr>
        <w:t xml:space="preserve">, a. s. </w:t>
      </w:r>
      <w:r w:rsidR="00FE6BAD" w:rsidRPr="00FE6BAD">
        <w:rPr>
          <w:rFonts w:asciiTheme="minorHAnsi" w:hAnsiTheme="minorHAnsi" w:cs="Arial"/>
          <w:sz w:val="20"/>
          <w:szCs w:val="20"/>
        </w:rPr>
        <w:t>(</w:t>
      </w:r>
      <w:r w:rsidR="00FE6BAD" w:rsidRPr="00FE6BAD">
        <w:rPr>
          <w:rFonts w:asciiTheme="minorHAnsi" w:hAnsiTheme="minorHAnsi" w:cs="Arial"/>
          <w:i/>
          <w:sz w:val="20"/>
          <w:szCs w:val="20"/>
        </w:rPr>
        <w:t>dále jen SOM</w:t>
      </w:r>
      <w:r w:rsidR="00FE6BAD" w:rsidRPr="00FE6BAD">
        <w:rPr>
          <w:rFonts w:asciiTheme="minorHAnsi" w:hAnsiTheme="minorHAnsi" w:cs="Arial"/>
          <w:sz w:val="20"/>
          <w:szCs w:val="20"/>
        </w:rPr>
        <w:t>)</w:t>
      </w:r>
      <w:r w:rsidR="00FE6BAD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 xml:space="preserve">- </w:t>
      </w:r>
      <w:r>
        <w:rPr>
          <w:rFonts w:asciiTheme="minorHAnsi" w:hAnsiTheme="minorHAnsi" w:cs="Arial"/>
          <w:sz w:val="20"/>
          <w:szCs w:val="20"/>
        </w:rPr>
        <w:t xml:space="preserve">společnost založená v roce 1995 za účelem správy obchodně-podnikatelského areálu </w:t>
      </w:r>
      <w:r w:rsidR="00FE6BAD">
        <w:rPr>
          <w:rFonts w:asciiTheme="minorHAnsi" w:hAnsiTheme="minorHAnsi" w:cs="Arial"/>
          <w:sz w:val="20"/>
          <w:szCs w:val="20"/>
        </w:rPr>
        <w:t xml:space="preserve">v majetku statutárního města Ostravy. </w:t>
      </w:r>
      <w:r w:rsidR="00FF3F37">
        <w:rPr>
          <w:rFonts w:asciiTheme="minorHAnsi" w:hAnsiTheme="minorHAnsi" w:cs="Arial"/>
          <w:sz w:val="20"/>
          <w:szCs w:val="20"/>
        </w:rPr>
        <w:t>V průběhu II. pololetí r. 20</w:t>
      </w:r>
      <w:r w:rsidR="00FE18D3">
        <w:rPr>
          <w:rFonts w:asciiTheme="minorHAnsi" w:hAnsiTheme="minorHAnsi" w:cs="Arial"/>
          <w:sz w:val="20"/>
          <w:szCs w:val="20"/>
        </w:rPr>
        <w:t>19</w:t>
      </w:r>
      <w:r w:rsidR="00FF3F37">
        <w:rPr>
          <w:rFonts w:asciiTheme="minorHAnsi" w:hAnsiTheme="minorHAnsi" w:cs="Arial"/>
          <w:sz w:val="20"/>
          <w:szCs w:val="20"/>
        </w:rPr>
        <w:t xml:space="preserve"> se připravovala nová podoba příkazní smlouvy mezi městem a SOM k zajištění správy průmyslového areálu Mošnov</w:t>
      </w:r>
      <w:r w:rsidR="00FE18D3">
        <w:rPr>
          <w:rFonts w:asciiTheme="minorHAnsi" w:hAnsiTheme="minorHAnsi" w:cs="Arial"/>
          <w:sz w:val="20"/>
          <w:szCs w:val="20"/>
        </w:rPr>
        <w:t xml:space="preserve">, která je nyní finalizována a během I. pol. r. 2020 </w:t>
      </w:r>
      <w:r w:rsidR="00706DE7">
        <w:rPr>
          <w:rFonts w:asciiTheme="minorHAnsi" w:hAnsiTheme="minorHAnsi" w:cs="Arial"/>
          <w:sz w:val="20"/>
          <w:szCs w:val="20"/>
        </w:rPr>
        <w:t>bude</w:t>
      </w:r>
      <w:r w:rsidR="00FE18D3">
        <w:rPr>
          <w:rFonts w:asciiTheme="minorHAnsi" w:hAnsiTheme="minorHAnsi" w:cs="Arial"/>
          <w:sz w:val="20"/>
          <w:szCs w:val="20"/>
        </w:rPr>
        <w:t xml:space="preserve"> předložena orgánům města. </w:t>
      </w:r>
      <w:r w:rsidR="00A7745C">
        <w:rPr>
          <w:rFonts w:asciiTheme="minorHAnsi" w:hAnsiTheme="minorHAnsi" w:cs="Arial"/>
          <w:sz w:val="20"/>
          <w:szCs w:val="20"/>
        </w:rPr>
        <w:t xml:space="preserve"> </w:t>
      </w:r>
      <w:r w:rsidR="00FE18D3">
        <w:rPr>
          <w:rFonts w:asciiTheme="minorHAnsi" w:hAnsiTheme="minorHAnsi" w:cs="Arial"/>
          <w:sz w:val="20"/>
          <w:szCs w:val="20"/>
        </w:rPr>
        <w:t xml:space="preserve">Důvodem byla potřeba aktualizovat a doplnit stávající smlouvu uzavřenou v roce </w:t>
      </w:r>
      <w:r w:rsidR="008419EB">
        <w:rPr>
          <w:rFonts w:asciiTheme="minorHAnsi" w:hAnsiTheme="minorHAnsi" w:cs="Arial"/>
          <w:sz w:val="20"/>
          <w:szCs w:val="20"/>
        </w:rPr>
        <w:t xml:space="preserve">2009 </w:t>
      </w:r>
      <w:r w:rsidR="00FE18D3">
        <w:rPr>
          <w:rFonts w:asciiTheme="minorHAnsi" w:hAnsiTheme="minorHAnsi" w:cs="Arial"/>
          <w:sz w:val="20"/>
          <w:szCs w:val="20"/>
        </w:rPr>
        <w:t>jak co do vymezení lokality</w:t>
      </w:r>
      <w:r w:rsidR="0011799E">
        <w:rPr>
          <w:rFonts w:asciiTheme="minorHAnsi" w:hAnsiTheme="minorHAnsi" w:cs="Arial"/>
          <w:sz w:val="20"/>
          <w:szCs w:val="20"/>
        </w:rPr>
        <w:t xml:space="preserve"> (nová specifikace pozemků)</w:t>
      </w:r>
      <w:r w:rsidR="00FE18D3">
        <w:rPr>
          <w:rFonts w:asciiTheme="minorHAnsi" w:hAnsiTheme="minorHAnsi" w:cs="Arial"/>
          <w:sz w:val="20"/>
          <w:szCs w:val="20"/>
        </w:rPr>
        <w:t xml:space="preserve">, tak rozsahu činností. </w:t>
      </w:r>
    </w:p>
    <w:p w:rsidR="0045491E" w:rsidRDefault="0045491E" w:rsidP="00D87892">
      <w:pPr>
        <w:spacing w:after="120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45491E" w:rsidRPr="0045491E" w:rsidRDefault="00A34C35" w:rsidP="00D87892">
      <w:pPr>
        <w:spacing w:after="120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45491E">
        <w:rPr>
          <w:rFonts w:asciiTheme="minorHAnsi" w:hAnsiTheme="minorHAnsi" w:cs="Arial"/>
          <w:b/>
          <w:sz w:val="22"/>
          <w:szCs w:val="22"/>
        </w:rPr>
        <w:t>Moravskoslezský kraj</w:t>
      </w:r>
      <w:r w:rsidR="003F44E3" w:rsidRPr="0045491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34C35" w:rsidRDefault="0045491E" w:rsidP="00D87892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="003F44E3">
        <w:rPr>
          <w:rFonts w:asciiTheme="minorHAnsi" w:hAnsiTheme="minorHAnsi" w:cs="Arial"/>
          <w:b/>
          <w:sz w:val="20"/>
          <w:szCs w:val="20"/>
        </w:rPr>
        <w:t xml:space="preserve">arování pozemků </w:t>
      </w:r>
    </w:p>
    <w:p w:rsidR="008161B4" w:rsidRDefault="008161B4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161B4">
        <w:rPr>
          <w:rFonts w:asciiTheme="minorHAnsi" w:hAnsiTheme="minorHAnsi" w:cs="Arial"/>
          <w:bCs/>
          <w:sz w:val="20"/>
          <w:szCs w:val="20"/>
        </w:rPr>
        <w:t>- v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8161B4">
        <w:rPr>
          <w:rFonts w:asciiTheme="minorHAnsi" w:hAnsiTheme="minorHAnsi" w:cs="Arial"/>
          <w:bCs/>
          <w:sz w:val="20"/>
          <w:szCs w:val="20"/>
        </w:rPr>
        <w:t> II. pol. r. 2019 bylo po vzájemné dohodě statutárního města Ostrava a Moravskoslezského kraje přistoupeno k přípravě darovacích smluv, jejichž účelem mělo být narovnání majetkových vztahů v lokalitě mošnovské průmyslové zóny</w:t>
      </w:r>
      <w:r>
        <w:rPr>
          <w:rFonts w:asciiTheme="minorHAnsi" w:hAnsiTheme="minorHAnsi" w:cs="Arial"/>
          <w:bCs/>
          <w:sz w:val="20"/>
          <w:szCs w:val="20"/>
        </w:rPr>
        <w:t xml:space="preserve"> mezi smluvními stranami. </w:t>
      </w:r>
      <w:r w:rsidR="00E26C68">
        <w:rPr>
          <w:rFonts w:asciiTheme="minorHAnsi" w:hAnsiTheme="minorHAnsi" w:cs="Arial"/>
          <w:bCs/>
          <w:sz w:val="20"/>
          <w:szCs w:val="20"/>
        </w:rPr>
        <w:t xml:space="preserve">Příprava spočívala zejména ve specifikaci pozemků, s nimi spojených </w:t>
      </w:r>
      <w:r w:rsidR="00FB14BC">
        <w:rPr>
          <w:rFonts w:asciiTheme="minorHAnsi" w:hAnsiTheme="minorHAnsi" w:cs="Arial"/>
          <w:bCs/>
          <w:sz w:val="20"/>
          <w:szCs w:val="20"/>
        </w:rPr>
        <w:t xml:space="preserve">stavebních </w:t>
      </w:r>
      <w:r w:rsidR="00E26C68">
        <w:rPr>
          <w:rFonts w:asciiTheme="minorHAnsi" w:hAnsiTheme="minorHAnsi" w:cs="Arial"/>
          <w:bCs/>
          <w:sz w:val="20"/>
          <w:szCs w:val="20"/>
        </w:rPr>
        <w:t xml:space="preserve">objektů a věcných břemen. </w:t>
      </w:r>
    </w:p>
    <w:p w:rsidR="008161B4" w:rsidRPr="00A34C35" w:rsidRDefault="008161B4" w:rsidP="008161B4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-</w:t>
      </w:r>
      <w:r>
        <w:rPr>
          <w:rFonts w:asciiTheme="minorHAnsi" w:hAnsiTheme="minorHAnsi" w:cs="Arial"/>
          <w:bCs/>
          <w:sz w:val="20"/>
          <w:szCs w:val="20"/>
        </w:rPr>
        <w:t xml:space="preserve"> předmětem daru ze strany města jsou pozemky </w:t>
      </w:r>
      <w:r w:rsidR="00FB14BC">
        <w:rPr>
          <w:rFonts w:asciiTheme="minorHAnsi" w:hAnsiTheme="minorHAnsi" w:cs="Arial"/>
          <w:bCs/>
          <w:sz w:val="20"/>
          <w:szCs w:val="20"/>
        </w:rPr>
        <w:t xml:space="preserve">o rozloze cca 9,6 ha včetně na nich umístěných staveb </w:t>
      </w:r>
      <w:r>
        <w:rPr>
          <w:rFonts w:asciiTheme="minorHAnsi" w:hAnsiTheme="minorHAnsi" w:cs="Arial"/>
          <w:bCs/>
          <w:sz w:val="20"/>
          <w:szCs w:val="20"/>
        </w:rPr>
        <w:t xml:space="preserve">navazující na plochu Strategické průmyslové zóny v k.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ú.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Mošnov, k.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ú.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Sedlnice a dále pozemky v k.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ú.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Harty, obec Petřvald severovýchodně od Malé rozvojové zóny. Darováním pozemků dojde k úpravě majetkových vztahů ve smyslu </w:t>
      </w:r>
      <w:r w:rsidR="00FB14BC">
        <w:rPr>
          <w:rFonts w:asciiTheme="minorHAnsi" w:hAnsiTheme="minorHAnsi" w:cs="Arial"/>
          <w:bCs/>
          <w:sz w:val="20"/>
          <w:szCs w:val="20"/>
        </w:rPr>
        <w:t>sjednocení</w:t>
      </w:r>
      <w:r>
        <w:rPr>
          <w:rFonts w:asciiTheme="minorHAnsi" w:hAnsiTheme="minorHAnsi" w:cs="Arial"/>
          <w:bCs/>
          <w:sz w:val="20"/>
          <w:szCs w:val="20"/>
        </w:rPr>
        <w:t xml:space="preserve"> území do ucelených ploch podle vlastníka pozemků s cílem zjednodušení a urychlení procesů projektové přípravy u realizovaných investic Moravskoslezského kraje. </w:t>
      </w:r>
    </w:p>
    <w:p w:rsidR="00A34C35" w:rsidRDefault="00A34C35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- </w:t>
      </w:r>
      <w:r w:rsidR="008161B4" w:rsidRPr="008161B4">
        <w:rPr>
          <w:rFonts w:asciiTheme="minorHAnsi" w:hAnsiTheme="minorHAnsi" w:cs="Arial"/>
          <w:bCs/>
          <w:sz w:val="20"/>
          <w:szCs w:val="20"/>
        </w:rPr>
        <w:t xml:space="preserve">Moravskoslezský kraj pak daruje městu pozemky o velikosti </w:t>
      </w:r>
      <w:r w:rsidR="008161B4">
        <w:rPr>
          <w:rFonts w:asciiTheme="minorHAnsi" w:hAnsiTheme="minorHAnsi" w:cs="Arial"/>
          <w:bCs/>
          <w:sz w:val="20"/>
          <w:szCs w:val="20"/>
        </w:rPr>
        <w:t xml:space="preserve">cca </w:t>
      </w:r>
      <w:r w:rsidR="00FB14BC">
        <w:rPr>
          <w:rFonts w:asciiTheme="minorHAnsi" w:hAnsiTheme="minorHAnsi" w:cs="Arial"/>
          <w:bCs/>
          <w:sz w:val="20"/>
          <w:szCs w:val="20"/>
        </w:rPr>
        <w:t>10,1</w:t>
      </w:r>
      <w:r w:rsidR="008161B4" w:rsidRPr="008161B4">
        <w:rPr>
          <w:rFonts w:asciiTheme="minorHAnsi" w:hAnsiTheme="minorHAnsi" w:cs="Arial"/>
          <w:bCs/>
          <w:sz w:val="20"/>
          <w:szCs w:val="20"/>
        </w:rPr>
        <w:t xml:space="preserve"> ha navazující na území tzv. Malé rozvojové zóny ve vlastnictví města</w:t>
      </w:r>
      <w:r w:rsidR="003F44E3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4577EC">
        <w:rPr>
          <w:rFonts w:asciiTheme="minorHAnsi" w:hAnsiTheme="minorHAnsi" w:cs="Arial"/>
          <w:bCs/>
          <w:sz w:val="20"/>
          <w:szCs w:val="20"/>
        </w:rPr>
        <w:t xml:space="preserve">Darováním dojde ke scelení plochy Malé rozvojové zóny </w:t>
      </w:r>
      <w:r w:rsidR="006E0144">
        <w:rPr>
          <w:rFonts w:asciiTheme="minorHAnsi" w:hAnsiTheme="minorHAnsi" w:cs="Arial"/>
          <w:bCs/>
          <w:sz w:val="20"/>
          <w:szCs w:val="20"/>
        </w:rPr>
        <w:t xml:space="preserve">(nyní 32 ha) </w:t>
      </w:r>
      <w:r w:rsidR="004577EC">
        <w:rPr>
          <w:rFonts w:asciiTheme="minorHAnsi" w:hAnsiTheme="minorHAnsi" w:cs="Arial"/>
          <w:bCs/>
          <w:sz w:val="20"/>
          <w:szCs w:val="20"/>
        </w:rPr>
        <w:t xml:space="preserve">a zvýšení potenciálu jejího budoucího využití. </w:t>
      </w:r>
    </w:p>
    <w:p w:rsidR="00E26C68" w:rsidRDefault="00E26C68" w:rsidP="00D87892">
      <w:pPr>
        <w:spacing w:after="120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- </w:t>
      </w:r>
      <w:r>
        <w:rPr>
          <w:rFonts w:asciiTheme="minorHAnsi" w:hAnsiTheme="minorHAnsi" w:cs="Arial"/>
          <w:bCs/>
          <w:sz w:val="20"/>
          <w:szCs w:val="20"/>
        </w:rPr>
        <w:t>záměr daru bude předložen zastupitelstvu města v 03/2020, darovací smlouvy budou schvalovány v 04/2020</w:t>
      </w:r>
      <w:r w:rsidR="007F1682">
        <w:rPr>
          <w:rFonts w:asciiTheme="minorHAnsi" w:hAnsiTheme="minorHAnsi" w:cs="Arial"/>
          <w:bCs/>
          <w:sz w:val="20"/>
          <w:szCs w:val="20"/>
        </w:rPr>
        <w:t>;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s ohledem na skutečnost, že stavby na pozemcích určených k darování MSK byly vybudovány z prostředků dotace v rámci projektu „SPZ </w:t>
      </w:r>
      <w:proofErr w:type="gramStart"/>
      <w:r w:rsidR="007F1682">
        <w:rPr>
          <w:rFonts w:asciiTheme="minorHAnsi" w:hAnsiTheme="minorHAnsi" w:cs="Arial"/>
          <w:bCs/>
          <w:sz w:val="20"/>
          <w:szCs w:val="20"/>
        </w:rPr>
        <w:t xml:space="preserve">Ostrava </w:t>
      </w:r>
      <w:r w:rsidR="00BD4454">
        <w:rPr>
          <w:rFonts w:asciiTheme="minorHAnsi" w:hAnsiTheme="minorHAnsi" w:cs="Arial"/>
          <w:bCs/>
          <w:sz w:val="20"/>
          <w:szCs w:val="20"/>
        </w:rPr>
        <w:t>-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 Mošnov</w:t>
      </w:r>
      <w:proofErr w:type="gramEnd"/>
      <w:r w:rsidR="007F168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D4454">
        <w:rPr>
          <w:rFonts w:asciiTheme="minorHAnsi" w:hAnsiTheme="minorHAnsi" w:cs="Arial"/>
          <w:bCs/>
          <w:sz w:val="20"/>
          <w:szCs w:val="20"/>
        </w:rPr>
        <w:t>-</w:t>
      </w:r>
      <w:r w:rsidR="007F1682">
        <w:rPr>
          <w:rFonts w:asciiTheme="minorHAnsi" w:hAnsiTheme="minorHAnsi" w:cs="Arial"/>
          <w:bCs/>
          <w:sz w:val="20"/>
          <w:szCs w:val="20"/>
        </w:rPr>
        <w:t xml:space="preserve"> technická infrastruktura“, musí být </w:t>
      </w:r>
      <w:r>
        <w:rPr>
          <w:rFonts w:asciiTheme="minorHAnsi" w:hAnsiTheme="minorHAnsi" w:cs="Arial"/>
          <w:bCs/>
          <w:sz w:val="20"/>
          <w:szCs w:val="20"/>
        </w:rPr>
        <w:t xml:space="preserve">darovací smlouva ze strany města schválena Ministerstvem průmyslu a obchodu </w:t>
      </w:r>
      <w:r w:rsidR="007F1682">
        <w:rPr>
          <w:rFonts w:asciiTheme="minorHAnsi" w:hAnsiTheme="minorHAnsi" w:cs="Arial"/>
          <w:bCs/>
          <w:sz w:val="20"/>
          <w:szCs w:val="20"/>
        </w:rPr>
        <w:t>-</w:t>
      </w:r>
      <w:r>
        <w:rPr>
          <w:rFonts w:asciiTheme="minorHAnsi" w:hAnsiTheme="minorHAnsi" w:cs="Arial"/>
          <w:bCs/>
          <w:sz w:val="20"/>
          <w:szCs w:val="20"/>
        </w:rPr>
        <w:t xml:space="preserve"> Správcem programu. </w:t>
      </w:r>
    </w:p>
    <w:p w:rsidR="00A70849" w:rsidRDefault="00A70849" w:rsidP="00A70849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:rsidR="0045491E" w:rsidRDefault="0045491E" w:rsidP="00A70849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:rsidR="00A70849" w:rsidRDefault="0045491E" w:rsidP="00A70849">
      <w:pPr>
        <w:spacing w:after="120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</w:t>
      </w:r>
      <w:r w:rsidR="00A70849">
        <w:rPr>
          <w:rFonts w:asciiTheme="minorHAnsi" w:hAnsiTheme="minorHAnsi" w:cs="Arial"/>
          <w:b/>
          <w:sz w:val="20"/>
          <w:szCs w:val="20"/>
        </w:rPr>
        <w:t xml:space="preserve">ozvojová studie rozšířeného zájmového území Mošnov  </w:t>
      </w:r>
    </w:p>
    <w:p w:rsidR="007D2C31" w:rsidRPr="00FF117C" w:rsidRDefault="007D2C31" w:rsidP="003735D4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FF117C">
        <w:rPr>
          <w:rFonts w:asciiTheme="minorHAnsi" w:hAnsiTheme="minorHAnsi" w:cs="Arial"/>
          <w:bCs/>
          <w:sz w:val="20"/>
          <w:szCs w:val="20"/>
        </w:rPr>
        <w:t>Moravskoslezský kraj se obrátil na statutární město Ostrava s žádostí o spolupráci při zpracování Rozvojové studie rozšířeného zájmového území Mošnov vzhledem ke skutečnosti, že v lokalitě se prolínají zájmy kraje i města</w:t>
      </w:r>
      <w:r w:rsidR="00FF117C" w:rsidRPr="00FF117C">
        <w:rPr>
          <w:rFonts w:asciiTheme="minorHAnsi" w:hAnsiTheme="minorHAnsi" w:cs="Arial"/>
          <w:bCs/>
          <w:sz w:val="20"/>
          <w:szCs w:val="20"/>
        </w:rPr>
        <w:t>, a to jak věcně, tak majetkově</w:t>
      </w:r>
      <w:r w:rsidRPr="00FF117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7D2C31" w:rsidRPr="00FF117C" w:rsidRDefault="007D2C31" w:rsidP="003735D4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FF117C">
        <w:rPr>
          <w:rFonts w:asciiTheme="minorHAnsi" w:hAnsiTheme="minorHAnsi" w:cs="Arial"/>
          <w:bCs/>
          <w:sz w:val="20"/>
          <w:szCs w:val="20"/>
        </w:rPr>
        <w:t>Důvodem pro zadání studie byla potřeba:</w:t>
      </w:r>
    </w:p>
    <w:p w:rsidR="007D2C31" w:rsidRPr="00FF117C" w:rsidRDefault="00FF117C" w:rsidP="003735D4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z</w:t>
      </w:r>
      <w:r w:rsidR="007D2C31" w:rsidRPr="00FF117C">
        <w:rPr>
          <w:rFonts w:asciiTheme="minorHAnsi" w:hAnsiTheme="minorHAnsi" w:cs="Arial"/>
          <w:bCs/>
          <w:sz w:val="20"/>
          <w:szCs w:val="20"/>
        </w:rPr>
        <w:t>pracování komplexního koncepčního materiálu jako podkladu a východiska pro strategii dalšího možného rozvoje území</w:t>
      </w:r>
    </w:p>
    <w:p w:rsidR="00FF117C" w:rsidRPr="00FF117C" w:rsidRDefault="00FF117C" w:rsidP="003735D4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</w:t>
      </w:r>
      <w:r w:rsidR="007D2C31" w:rsidRPr="00FF117C">
        <w:rPr>
          <w:rFonts w:asciiTheme="minorHAnsi" w:hAnsiTheme="minorHAnsi" w:cs="Arial"/>
          <w:bCs/>
          <w:sz w:val="20"/>
          <w:szCs w:val="20"/>
        </w:rPr>
        <w:t xml:space="preserve">yhodnocení dopadů a vlivů tohoto rozvoje na nadřazenou dopravní a technickou infrastrukturu včetně definice možných rizik a limitujících faktorů </w:t>
      </w:r>
      <w:r w:rsidRPr="00FF117C">
        <w:rPr>
          <w:rFonts w:asciiTheme="minorHAnsi" w:hAnsiTheme="minorHAnsi" w:cs="Arial"/>
          <w:bCs/>
          <w:sz w:val="20"/>
          <w:szCs w:val="20"/>
        </w:rPr>
        <w:t>jako významný podklad pro jejich předcházení či eliminaci.</w:t>
      </w:r>
    </w:p>
    <w:p w:rsidR="00A70849" w:rsidRPr="00FF117C" w:rsidRDefault="00FF117C" w:rsidP="003735D4">
      <w:pPr>
        <w:pStyle w:val="Odstavecseseznamem"/>
        <w:numPr>
          <w:ilvl w:val="0"/>
          <w:numId w:val="32"/>
        </w:numPr>
        <w:spacing w:before="120" w:after="120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FF117C">
        <w:rPr>
          <w:rFonts w:asciiTheme="minorHAnsi" w:hAnsiTheme="minorHAnsi" w:cs="Arial"/>
          <w:bCs/>
          <w:sz w:val="20"/>
          <w:szCs w:val="20"/>
        </w:rPr>
        <w:t xml:space="preserve">Zadavatelem a investorem studie je Moravskoslezský kraj, město souhlasilo s jejím zadáním a svou participací </w:t>
      </w:r>
      <w:r w:rsidR="00E371A0">
        <w:rPr>
          <w:rFonts w:asciiTheme="minorHAnsi" w:hAnsiTheme="minorHAnsi" w:cs="Arial"/>
          <w:bCs/>
          <w:sz w:val="20"/>
          <w:szCs w:val="20"/>
        </w:rPr>
        <w:br/>
      </w:r>
      <w:r w:rsidRPr="00FF117C">
        <w:rPr>
          <w:rFonts w:asciiTheme="minorHAnsi" w:hAnsiTheme="minorHAnsi" w:cs="Arial"/>
          <w:bCs/>
          <w:sz w:val="20"/>
          <w:szCs w:val="20"/>
        </w:rPr>
        <w:t>na zpracování usnesením RM č. 3129/RM1822/46 z</w:t>
      </w:r>
      <w:r w:rsidR="00A41587">
        <w:rPr>
          <w:rFonts w:asciiTheme="minorHAnsi" w:hAnsiTheme="minorHAnsi" w:cs="Arial"/>
          <w:bCs/>
          <w:sz w:val="20"/>
          <w:szCs w:val="20"/>
        </w:rPr>
        <w:t> 01/2020</w:t>
      </w:r>
      <w:r w:rsidRPr="00FF117C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7D2C31" w:rsidRPr="00FF117C">
        <w:rPr>
          <w:rFonts w:asciiTheme="minorHAnsi" w:hAnsiTheme="minorHAnsi" w:cs="Arial"/>
          <w:bCs/>
          <w:sz w:val="20"/>
          <w:szCs w:val="20"/>
        </w:rPr>
        <w:t xml:space="preserve">  </w:t>
      </w:r>
      <w:r w:rsidRPr="00FF117C">
        <w:rPr>
          <w:rFonts w:asciiTheme="minorHAnsi" w:hAnsiTheme="minorHAnsi" w:cs="Arial"/>
          <w:bCs/>
          <w:sz w:val="20"/>
          <w:szCs w:val="20"/>
        </w:rPr>
        <w:t>V rámci předmětného materiálu se kraj a město dohodli také na přípravě nového „Memoranda o vzájemné spolupráci a koordinaci při přípravě projektů v rozvojovém území Mošnov“, které nahradí stávající, již neaktuální dohodu</w:t>
      </w:r>
      <w:r w:rsidR="005877AC">
        <w:rPr>
          <w:rFonts w:asciiTheme="minorHAnsi" w:hAnsiTheme="minorHAnsi" w:cs="Arial"/>
          <w:bCs/>
          <w:sz w:val="20"/>
          <w:szCs w:val="20"/>
        </w:rPr>
        <w:t xml:space="preserve"> z r. 2008</w:t>
      </w:r>
      <w:r w:rsidRPr="00FF117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4C6264" w:rsidRDefault="004C6264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0C5B0C" w:rsidRDefault="00BB2BD6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E3FCA">
        <w:rPr>
          <w:rFonts w:asciiTheme="minorHAnsi" w:hAnsiTheme="minorHAnsi" w:cs="Arial"/>
          <w:b/>
          <w:sz w:val="22"/>
          <w:szCs w:val="22"/>
        </w:rPr>
        <w:t>Rozšíření technické infrastruktury</w:t>
      </w:r>
      <w:r w:rsidR="00345E13">
        <w:rPr>
          <w:rFonts w:asciiTheme="minorHAnsi" w:hAnsiTheme="minorHAnsi" w:cs="Arial"/>
          <w:b/>
          <w:sz w:val="22"/>
          <w:szCs w:val="22"/>
        </w:rPr>
        <w:t xml:space="preserve"> </w:t>
      </w:r>
      <w:r w:rsidR="00C97477">
        <w:rPr>
          <w:rFonts w:asciiTheme="minorHAnsi" w:hAnsiTheme="minorHAnsi" w:cs="Arial"/>
          <w:b/>
          <w:sz w:val="22"/>
          <w:szCs w:val="22"/>
        </w:rPr>
        <w:t>(přidružená infrastruktura)</w:t>
      </w:r>
    </w:p>
    <w:p w:rsidR="00345E13" w:rsidRPr="007E3FCA" w:rsidRDefault="00345E13" w:rsidP="00BB2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0F5E5D" w:rsidRPr="000F5E5D" w:rsidRDefault="000F5E5D" w:rsidP="000F5E5D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0F5E5D">
        <w:rPr>
          <w:rFonts w:asciiTheme="minorHAnsi" w:hAnsiTheme="minorHAnsi" w:cs="Arial"/>
          <w:b/>
          <w:sz w:val="20"/>
          <w:szCs w:val="20"/>
        </w:rPr>
        <w:t>projekty k posílení kapacity zdrojů průmyslové zóny</w:t>
      </w:r>
    </w:p>
    <w:p w:rsidR="00BB2BD6" w:rsidRPr="0094145C" w:rsidRDefault="0094145C" w:rsidP="00BB2BD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předchozím posílení kapacity vody, elektřiny a plynu v lokalitě SPZ Ostrava-Mošnov (r. 2018) je plánováno v rámci </w:t>
      </w:r>
      <w:r w:rsidR="004C76E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 xml:space="preserve">IV. etapy navýšení kapacity plynu propojení STL plynovodů v ploše zóny a tzv. ploše „R“ u transformovny ČEZ, čímž by mělo dojít k uvolnění nevyužité kapacity regulační stanice RS3 </w:t>
      </w:r>
      <w:r w:rsidR="004C76EB">
        <w:rPr>
          <w:rFonts w:asciiTheme="minorHAnsi" w:hAnsiTheme="minorHAnsi" w:cs="Arial"/>
          <w:sz w:val="20"/>
          <w:szCs w:val="20"/>
        </w:rPr>
        <w:t xml:space="preserve">situované u plochy „R“ </w:t>
      </w:r>
      <w:r>
        <w:rPr>
          <w:rFonts w:asciiTheme="minorHAnsi" w:hAnsiTheme="minorHAnsi" w:cs="Arial"/>
          <w:sz w:val="20"/>
          <w:szCs w:val="20"/>
        </w:rPr>
        <w:t>o objemu 1 400 m</w:t>
      </w:r>
      <w:r>
        <w:rPr>
          <w:rFonts w:asciiTheme="minorHAnsi" w:hAnsiTheme="minorHAnsi" w:cs="Arial"/>
          <w:sz w:val="20"/>
          <w:szCs w:val="20"/>
          <w:vertAlign w:val="superscript"/>
        </w:rPr>
        <w:t>3</w:t>
      </w:r>
      <w:r>
        <w:rPr>
          <w:rFonts w:asciiTheme="minorHAnsi" w:hAnsiTheme="minorHAnsi" w:cs="Arial"/>
          <w:sz w:val="20"/>
          <w:szCs w:val="20"/>
        </w:rPr>
        <w:t xml:space="preserve">/h. Projekční příprava bude zahájena po projednání </w:t>
      </w:r>
      <w:r w:rsidR="00AD3792">
        <w:rPr>
          <w:rFonts w:asciiTheme="minorHAnsi" w:hAnsiTheme="minorHAnsi" w:cs="Arial"/>
          <w:sz w:val="20"/>
          <w:szCs w:val="20"/>
        </w:rPr>
        <w:t xml:space="preserve">a stanovení postupu </w:t>
      </w:r>
      <w:r>
        <w:rPr>
          <w:rFonts w:asciiTheme="minorHAnsi" w:hAnsiTheme="minorHAnsi" w:cs="Arial"/>
          <w:sz w:val="20"/>
          <w:szCs w:val="20"/>
        </w:rPr>
        <w:t xml:space="preserve">se zástupci </w:t>
      </w:r>
      <w:proofErr w:type="spellStart"/>
      <w:r>
        <w:rPr>
          <w:rFonts w:asciiTheme="minorHAnsi" w:hAnsiTheme="minorHAnsi" w:cs="Arial"/>
          <w:sz w:val="20"/>
          <w:szCs w:val="20"/>
        </w:rPr>
        <w:t>GasNet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s. r. o. </w:t>
      </w:r>
    </w:p>
    <w:p w:rsidR="00DB4D6A" w:rsidRPr="00FD75EF" w:rsidRDefault="00EC01B7" w:rsidP="008A42ED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projekty pro připojení nových investorů</w:t>
      </w:r>
      <w:r w:rsidR="00FD75EF" w:rsidRPr="00FD75EF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DB4D6A" w:rsidRPr="00A23758" w:rsidRDefault="00EC01B7" w:rsidP="00405C9A">
      <w:pPr>
        <w:pStyle w:val="Odstavecseseznamem"/>
        <w:numPr>
          <w:ilvl w:val="1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color w:val="C0000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nová větev STL plynovodu pro plochu G1 a G2 zóny </w:t>
      </w:r>
      <w:r w:rsidR="00DD158F">
        <w:rPr>
          <w:rFonts w:asciiTheme="minorHAnsi" w:hAnsiTheme="minorHAnsi" w:cs="Arial"/>
          <w:sz w:val="20"/>
          <w:szCs w:val="20"/>
        </w:rPr>
        <w:t>–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DD158F">
        <w:rPr>
          <w:rFonts w:asciiTheme="minorHAnsi" w:hAnsiTheme="minorHAnsi" w:cs="Arial"/>
          <w:sz w:val="20"/>
          <w:szCs w:val="20"/>
        </w:rPr>
        <w:t>ve sledovaném období</w:t>
      </w:r>
      <w:r>
        <w:rPr>
          <w:rFonts w:asciiTheme="minorHAnsi" w:hAnsiTheme="minorHAnsi" w:cs="Arial"/>
          <w:sz w:val="20"/>
          <w:szCs w:val="20"/>
        </w:rPr>
        <w:t xml:space="preserve"> pokračovaly projekční práce na DÚR, </w:t>
      </w:r>
      <w:r w:rsidR="00DD158F">
        <w:rPr>
          <w:rFonts w:asciiTheme="minorHAnsi" w:hAnsiTheme="minorHAnsi" w:cs="Arial"/>
          <w:sz w:val="20"/>
          <w:szCs w:val="20"/>
        </w:rPr>
        <w:t xml:space="preserve">na přelomu roku byla uzavřena se společností </w:t>
      </w:r>
      <w:proofErr w:type="spellStart"/>
      <w:r w:rsidR="00DD158F">
        <w:rPr>
          <w:rFonts w:asciiTheme="minorHAnsi" w:hAnsiTheme="minorHAnsi" w:cs="Arial"/>
          <w:sz w:val="20"/>
          <w:szCs w:val="20"/>
        </w:rPr>
        <w:t>GasNet</w:t>
      </w:r>
      <w:proofErr w:type="spellEnd"/>
      <w:r w:rsidR="00DD158F">
        <w:rPr>
          <w:rFonts w:asciiTheme="minorHAnsi" w:hAnsiTheme="minorHAnsi" w:cs="Arial"/>
          <w:sz w:val="20"/>
          <w:szCs w:val="20"/>
        </w:rPr>
        <w:t xml:space="preserve"> smlouva o podmínkách připojení a o smlouvě budoucí nájemní</w:t>
      </w:r>
      <w:r w:rsidR="00574C6D">
        <w:rPr>
          <w:rFonts w:asciiTheme="minorHAnsi" w:hAnsiTheme="minorHAnsi" w:cs="Arial"/>
          <w:sz w:val="20"/>
          <w:szCs w:val="20"/>
        </w:rPr>
        <w:t xml:space="preserve"> za účelem </w:t>
      </w:r>
      <w:r w:rsidR="001C34BF">
        <w:rPr>
          <w:rFonts w:asciiTheme="minorHAnsi" w:hAnsiTheme="minorHAnsi" w:cs="Arial"/>
          <w:sz w:val="20"/>
          <w:szCs w:val="20"/>
        </w:rPr>
        <w:t xml:space="preserve">budoucího </w:t>
      </w:r>
      <w:r w:rsidR="00574C6D">
        <w:rPr>
          <w:rFonts w:asciiTheme="minorHAnsi" w:hAnsiTheme="minorHAnsi" w:cs="Arial"/>
          <w:sz w:val="20"/>
          <w:szCs w:val="20"/>
        </w:rPr>
        <w:t>provozování sítě</w:t>
      </w:r>
      <w:r w:rsidR="00DD158F">
        <w:rPr>
          <w:rFonts w:asciiTheme="minorHAnsi" w:hAnsiTheme="minorHAnsi" w:cs="Arial"/>
          <w:sz w:val="20"/>
          <w:szCs w:val="20"/>
        </w:rPr>
        <w:t xml:space="preserve">, na </w:t>
      </w:r>
      <w:proofErr w:type="gramStart"/>
      <w:r w:rsidR="00DD158F">
        <w:rPr>
          <w:rFonts w:asciiTheme="minorHAnsi" w:hAnsiTheme="minorHAnsi" w:cs="Arial"/>
          <w:sz w:val="20"/>
          <w:szCs w:val="20"/>
        </w:rPr>
        <w:t>podkladě</w:t>
      </w:r>
      <w:proofErr w:type="gramEnd"/>
      <w:r w:rsidR="00DD158F">
        <w:rPr>
          <w:rFonts w:asciiTheme="minorHAnsi" w:hAnsiTheme="minorHAnsi" w:cs="Arial"/>
          <w:sz w:val="20"/>
          <w:szCs w:val="20"/>
        </w:rPr>
        <w:t xml:space="preserve"> které bylo vydáno kladné stanovisko </w:t>
      </w:r>
      <w:r w:rsidR="00405C9A">
        <w:rPr>
          <w:rFonts w:asciiTheme="minorHAnsi" w:hAnsiTheme="minorHAnsi" w:cs="Arial"/>
          <w:sz w:val="20"/>
          <w:szCs w:val="20"/>
        </w:rPr>
        <w:t xml:space="preserve">provozovatele distribuční soustavy </w:t>
      </w:r>
      <w:proofErr w:type="spellStart"/>
      <w:r w:rsidR="00405C9A">
        <w:rPr>
          <w:rFonts w:asciiTheme="minorHAnsi" w:hAnsiTheme="minorHAnsi" w:cs="Arial"/>
          <w:sz w:val="20"/>
          <w:szCs w:val="20"/>
        </w:rPr>
        <w:t>GasNet</w:t>
      </w:r>
      <w:proofErr w:type="spellEnd"/>
      <w:r w:rsidR="00405C9A">
        <w:rPr>
          <w:rFonts w:asciiTheme="minorHAnsi" w:hAnsiTheme="minorHAnsi" w:cs="Arial"/>
          <w:sz w:val="20"/>
          <w:szCs w:val="20"/>
        </w:rPr>
        <w:t xml:space="preserve"> </w:t>
      </w:r>
      <w:r w:rsidR="00DD158F">
        <w:rPr>
          <w:rFonts w:asciiTheme="minorHAnsi" w:hAnsiTheme="minorHAnsi" w:cs="Arial"/>
          <w:sz w:val="20"/>
          <w:szCs w:val="20"/>
        </w:rPr>
        <w:t>k</w:t>
      </w:r>
      <w:r w:rsidR="00405C9A">
        <w:rPr>
          <w:rFonts w:asciiTheme="minorHAnsi" w:hAnsiTheme="minorHAnsi" w:cs="Arial"/>
          <w:sz w:val="20"/>
          <w:szCs w:val="20"/>
        </w:rPr>
        <w:t> </w:t>
      </w:r>
      <w:r w:rsidR="00DD158F">
        <w:rPr>
          <w:rFonts w:asciiTheme="minorHAnsi" w:hAnsiTheme="minorHAnsi" w:cs="Arial"/>
          <w:sz w:val="20"/>
          <w:szCs w:val="20"/>
        </w:rPr>
        <w:t>projektu</w:t>
      </w:r>
      <w:r w:rsidR="00405C9A">
        <w:rPr>
          <w:rFonts w:asciiTheme="minorHAnsi" w:hAnsiTheme="minorHAnsi" w:cs="Arial"/>
          <w:sz w:val="20"/>
          <w:szCs w:val="20"/>
        </w:rPr>
        <w:t>, aktuálně podána žádost o územní rozhodnutí (IGEA)</w:t>
      </w:r>
      <w:r w:rsidR="00FF7483">
        <w:rPr>
          <w:rFonts w:asciiTheme="minorHAnsi" w:hAnsiTheme="minorHAnsi" w:cs="Arial"/>
          <w:sz w:val="20"/>
          <w:szCs w:val="20"/>
        </w:rPr>
        <w:t>;</w:t>
      </w:r>
    </w:p>
    <w:p w:rsidR="00E5359F" w:rsidRDefault="00794FD4" w:rsidP="00EE32E6">
      <w:pPr>
        <w:pStyle w:val="Odstavecseseznamem"/>
        <w:numPr>
          <w:ilvl w:val="1"/>
          <w:numId w:val="6"/>
        </w:numPr>
        <w:spacing w:after="120"/>
        <w:ind w:left="284" w:hanging="283"/>
        <w:jc w:val="both"/>
        <w:rPr>
          <w:rFonts w:asciiTheme="minorHAnsi" w:hAnsiTheme="minorHAnsi" w:cs="Arial"/>
          <w:sz w:val="20"/>
          <w:szCs w:val="20"/>
        </w:rPr>
      </w:pPr>
      <w:r w:rsidRPr="00405C9A">
        <w:rPr>
          <w:rFonts w:asciiTheme="minorHAnsi" w:hAnsiTheme="minorHAnsi" w:cs="Arial"/>
          <w:sz w:val="20"/>
          <w:szCs w:val="20"/>
        </w:rPr>
        <w:t xml:space="preserve">elektrická energie pro tzv. </w:t>
      </w:r>
      <w:r w:rsidRPr="00405C9A">
        <w:rPr>
          <w:rFonts w:asciiTheme="minorHAnsi" w:hAnsiTheme="minorHAnsi" w:cs="Arial"/>
          <w:b/>
          <w:sz w:val="20"/>
          <w:szCs w:val="20"/>
        </w:rPr>
        <w:t>Malou rozvojovou zónu</w:t>
      </w:r>
      <w:r w:rsidRPr="00405C9A">
        <w:rPr>
          <w:rFonts w:asciiTheme="minorHAnsi" w:hAnsiTheme="minorHAnsi" w:cs="Arial"/>
          <w:sz w:val="20"/>
          <w:szCs w:val="20"/>
        </w:rPr>
        <w:t xml:space="preserve"> (plánovaná kapacita 20 MW) - připravena DÚR, </w:t>
      </w:r>
      <w:r w:rsidR="009D020D" w:rsidRPr="00405C9A">
        <w:rPr>
          <w:rFonts w:asciiTheme="minorHAnsi" w:hAnsiTheme="minorHAnsi" w:cs="Arial"/>
          <w:sz w:val="20"/>
          <w:szCs w:val="20"/>
        </w:rPr>
        <w:t>dořešena</w:t>
      </w:r>
      <w:r w:rsidRPr="00405C9A">
        <w:rPr>
          <w:rFonts w:asciiTheme="minorHAnsi" w:hAnsiTheme="minorHAnsi" w:cs="Arial"/>
          <w:sz w:val="20"/>
          <w:szCs w:val="20"/>
        </w:rPr>
        <w:t xml:space="preserve"> věcná břemena s Moravskoslezským krajem a SS MSK</w:t>
      </w:r>
      <w:r w:rsidR="009D020D" w:rsidRPr="00405C9A">
        <w:rPr>
          <w:rFonts w:asciiTheme="minorHAnsi" w:hAnsiTheme="minorHAnsi" w:cs="Arial"/>
          <w:sz w:val="20"/>
          <w:szCs w:val="20"/>
        </w:rPr>
        <w:t xml:space="preserve">, </w:t>
      </w:r>
      <w:r w:rsidR="00405C9A" w:rsidRPr="00405C9A">
        <w:rPr>
          <w:rFonts w:asciiTheme="minorHAnsi" w:hAnsiTheme="minorHAnsi" w:cs="Arial"/>
          <w:sz w:val="20"/>
          <w:szCs w:val="20"/>
        </w:rPr>
        <w:t>v</w:t>
      </w:r>
      <w:r w:rsidR="005B6F23">
        <w:rPr>
          <w:rFonts w:asciiTheme="minorHAnsi" w:hAnsiTheme="minorHAnsi" w:cs="Arial"/>
          <w:sz w:val="20"/>
          <w:szCs w:val="20"/>
        </w:rPr>
        <w:t>e</w:t>
      </w:r>
      <w:r w:rsidR="00405C9A" w:rsidRPr="00405C9A">
        <w:rPr>
          <w:rFonts w:asciiTheme="minorHAnsi" w:hAnsiTheme="minorHAnsi" w:cs="Arial"/>
          <w:sz w:val="20"/>
          <w:szCs w:val="20"/>
        </w:rPr>
        <w:t> 12/2019 podána žádost o územní rozhodnutí.</w:t>
      </w:r>
      <w:r w:rsidR="009D020D" w:rsidRPr="00405C9A">
        <w:rPr>
          <w:rFonts w:asciiTheme="minorHAnsi" w:hAnsiTheme="minorHAnsi" w:cs="Arial"/>
          <w:sz w:val="20"/>
          <w:szCs w:val="20"/>
        </w:rPr>
        <w:t xml:space="preserve"> Z</w:t>
      </w:r>
      <w:r w:rsidRPr="00405C9A">
        <w:rPr>
          <w:rFonts w:asciiTheme="minorHAnsi" w:hAnsiTheme="minorHAnsi" w:cs="Arial"/>
          <w:sz w:val="20"/>
          <w:szCs w:val="20"/>
        </w:rPr>
        <w:t>pracovaná DÚR bude dle</w:t>
      </w:r>
      <w:r w:rsidR="00786B02">
        <w:rPr>
          <w:rFonts w:asciiTheme="minorHAnsi" w:hAnsiTheme="minorHAnsi" w:cs="Arial"/>
          <w:sz w:val="20"/>
          <w:szCs w:val="20"/>
        </w:rPr>
        <w:t xml:space="preserve"> charakteru využití kabelové smyčky </w:t>
      </w:r>
      <w:r w:rsidRPr="00405C9A">
        <w:rPr>
          <w:rFonts w:asciiTheme="minorHAnsi" w:hAnsiTheme="minorHAnsi" w:cs="Arial"/>
          <w:sz w:val="20"/>
          <w:szCs w:val="20"/>
        </w:rPr>
        <w:t>převedena městem na společnost ČEZ</w:t>
      </w:r>
      <w:r w:rsidR="00786B02">
        <w:rPr>
          <w:rFonts w:asciiTheme="minorHAnsi" w:hAnsiTheme="minorHAnsi" w:cs="Arial"/>
          <w:sz w:val="20"/>
          <w:szCs w:val="20"/>
        </w:rPr>
        <w:t xml:space="preserve"> nebo odkoupena budoucím investorem/developerem</w:t>
      </w:r>
      <w:r w:rsidR="00450D73">
        <w:rPr>
          <w:rFonts w:asciiTheme="minorHAnsi" w:hAnsiTheme="minorHAnsi" w:cs="Arial"/>
          <w:sz w:val="20"/>
          <w:szCs w:val="20"/>
        </w:rPr>
        <w:t>;</w:t>
      </w:r>
    </w:p>
    <w:p w:rsidR="002F67AC" w:rsidRPr="002F67AC" w:rsidRDefault="002F67AC" w:rsidP="002F67AC">
      <w:pPr>
        <w:spacing w:after="120"/>
        <w:ind w:left="1"/>
        <w:jc w:val="both"/>
        <w:rPr>
          <w:rFonts w:asciiTheme="minorHAnsi" w:hAnsiTheme="minorHAnsi" w:cs="Arial"/>
          <w:sz w:val="20"/>
          <w:szCs w:val="20"/>
        </w:rPr>
      </w:pPr>
    </w:p>
    <w:p w:rsidR="002B4039" w:rsidRPr="002F67AC" w:rsidRDefault="002B4039" w:rsidP="002B4039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F67AC">
        <w:rPr>
          <w:rFonts w:asciiTheme="minorHAnsi" w:hAnsiTheme="minorHAnsi" w:cs="Arial"/>
          <w:b/>
          <w:sz w:val="22"/>
          <w:szCs w:val="22"/>
        </w:rPr>
        <w:t xml:space="preserve">dotační projekty v PZ Mošnov </w:t>
      </w:r>
    </w:p>
    <w:p w:rsidR="002B4039" w:rsidRPr="00F747C1" w:rsidRDefault="002B4039" w:rsidP="002B4039">
      <w:pPr>
        <w:pStyle w:val="Odstavecseseznamem"/>
        <w:rPr>
          <w:b/>
          <w:sz w:val="20"/>
          <w:szCs w:val="20"/>
        </w:rPr>
      </w:pPr>
    </w:p>
    <w:p w:rsidR="008B1524" w:rsidRPr="008B1524" w:rsidRDefault="008B1524" w:rsidP="009A4D5F">
      <w:pPr>
        <w:pStyle w:val="Odstavecseseznamem"/>
        <w:numPr>
          <w:ilvl w:val="0"/>
          <w:numId w:val="28"/>
        </w:numPr>
        <w:spacing w:after="160" w:line="259" w:lineRule="auto"/>
        <w:ind w:left="709" w:hanging="709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</w:rPr>
      </w:pPr>
      <w:r w:rsidRPr="008B1524">
        <w:rPr>
          <w:rFonts w:asciiTheme="minorHAnsi" w:eastAsia="Times New Roman" w:hAnsiTheme="minorHAnsi" w:cs="Arial"/>
          <w:b/>
          <w:sz w:val="20"/>
          <w:szCs w:val="20"/>
        </w:rPr>
        <w:t xml:space="preserve">PZ Mošnov výkupy nemovitostí 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(součást SPZ Ostrava-Mošnov) - 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projekt ukončen k 30. 6. 2016, probíhá udržitelnost do 12/2026</w:t>
      </w:r>
      <w:r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139,9 mil. Kč, z toho dotace 129,1 mil. Kč) </w:t>
      </w:r>
    </w:p>
    <w:p w:rsidR="00995C69" w:rsidRPr="00EF0C80" w:rsidRDefault="00995C69" w:rsidP="009A4D5F">
      <w:pPr>
        <w:pStyle w:val="Odstavecseseznamem"/>
        <w:numPr>
          <w:ilvl w:val="0"/>
          <w:numId w:val="28"/>
        </w:numPr>
        <w:spacing w:after="160" w:line="259" w:lineRule="auto"/>
        <w:ind w:left="709" w:hanging="709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SPZ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 - technická infrastruktura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="00A01087">
        <w:rPr>
          <w:rFonts w:asciiTheme="minorHAnsi" w:eastAsia="Times New Roman" w:hAnsiTheme="minorHAnsi" w:cs="Arial"/>
          <w:bCs/>
          <w:sz w:val="20"/>
          <w:szCs w:val="20"/>
        </w:rPr>
        <w:t>-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projekt ukončen k 30. 6. 2016, probíhá udržitelnost </w:t>
      </w:r>
      <w:r w:rsidR="00476EB5">
        <w:rPr>
          <w:rFonts w:asciiTheme="minorHAnsi" w:eastAsia="Times New Roman" w:hAnsiTheme="minorHAnsi" w:cs="Arial"/>
          <w:bCs/>
          <w:sz w:val="20"/>
          <w:szCs w:val="20"/>
        </w:rPr>
        <w:br/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do 12/2026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914</w:t>
      </w:r>
      <w:r w:rsidR="008B1524">
        <w:rPr>
          <w:rFonts w:asciiTheme="minorHAnsi" w:eastAsia="Times New Roman" w:hAnsiTheme="minorHAnsi" w:cs="Arial"/>
          <w:bCs/>
          <w:sz w:val="20"/>
          <w:szCs w:val="20"/>
        </w:rPr>
        <w:t>,2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Kč, z toho dotace </w:t>
      </w:r>
      <w:r w:rsidR="008B1524">
        <w:rPr>
          <w:rFonts w:asciiTheme="minorHAnsi" w:eastAsia="Times New Roman" w:hAnsiTheme="minorHAnsi" w:cs="Arial"/>
          <w:bCs/>
          <w:sz w:val="20"/>
          <w:szCs w:val="20"/>
        </w:rPr>
        <w:t>657,9</w:t>
      </w:r>
      <w:r w:rsidR="00EF0C80"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Kč)</w:t>
      </w:r>
    </w:p>
    <w:p w:rsidR="002B4039" w:rsidRPr="002B4039" w:rsidRDefault="00EF0C80" w:rsidP="003A0B35">
      <w:pPr>
        <w:pStyle w:val="Odstavecseseznamem"/>
        <w:numPr>
          <w:ilvl w:val="0"/>
          <w:numId w:val="28"/>
        </w:numPr>
        <w:spacing w:after="160" w:line="259" w:lineRule="auto"/>
        <w:ind w:hanging="720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SPZ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 - technická infrastruktura, I</w:t>
      </w:r>
      <w:r>
        <w:rPr>
          <w:rFonts w:asciiTheme="minorHAnsi" w:eastAsia="Times New Roman" w:hAnsiTheme="minorHAnsi" w:cs="Arial"/>
          <w:b/>
          <w:sz w:val="20"/>
          <w:szCs w:val="20"/>
        </w:rPr>
        <w:t>I</w:t>
      </w:r>
      <w:r w:rsidRPr="003A0B35">
        <w:rPr>
          <w:rFonts w:asciiTheme="minorHAnsi" w:eastAsia="Times New Roman" w:hAnsiTheme="minorHAnsi" w:cs="Arial"/>
          <w:b/>
          <w:sz w:val="20"/>
          <w:szCs w:val="20"/>
        </w:rPr>
        <w:t>. etapa</w:t>
      </w:r>
      <w:r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="00A01087">
        <w:rPr>
          <w:rFonts w:asciiTheme="minorHAnsi" w:eastAsia="Times New Roman" w:hAnsiTheme="minorHAnsi" w:cs="Arial"/>
          <w:bCs/>
          <w:sz w:val="20"/>
          <w:szCs w:val="20"/>
        </w:rPr>
        <w:t>-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projekt ukončen k </w:t>
      </w:r>
      <w:r>
        <w:rPr>
          <w:rFonts w:asciiTheme="minorHAnsi" w:eastAsia="Times New Roman" w:hAnsiTheme="minorHAnsi" w:cs="Arial"/>
          <w:bCs/>
          <w:sz w:val="20"/>
          <w:szCs w:val="20"/>
        </w:rPr>
        <w:t>31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"/>
          <w:bCs/>
          <w:sz w:val="20"/>
          <w:szCs w:val="20"/>
        </w:rPr>
        <w:t>12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. 201</w:t>
      </w:r>
      <w:r>
        <w:rPr>
          <w:rFonts w:asciiTheme="minorHAnsi" w:eastAsia="Times New Roman" w:hAnsiTheme="minorHAnsi" w:cs="Arial"/>
          <w:bCs/>
          <w:sz w:val="20"/>
          <w:szCs w:val="20"/>
        </w:rPr>
        <w:t>8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, probíhá udržitelnost do </w:t>
      </w:r>
      <w:r>
        <w:rPr>
          <w:rFonts w:asciiTheme="minorHAnsi" w:eastAsia="Times New Roman" w:hAnsiTheme="minorHAnsi" w:cs="Arial"/>
          <w:bCs/>
          <w:sz w:val="20"/>
          <w:szCs w:val="20"/>
        </w:rPr>
        <w:t>06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>/20</w:t>
      </w:r>
      <w:r>
        <w:rPr>
          <w:rFonts w:asciiTheme="minorHAnsi" w:eastAsia="Times New Roman" w:hAnsiTheme="minorHAnsi" w:cs="Arial"/>
          <w:bCs/>
          <w:sz w:val="20"/>
          <w:szCs w:val="20"/>
        </w:rPr>
        <w:t>29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(celkový objem </w:t>
      </w:r>
      <w:r>
        <w:rPr>
          <w:rFonts w:asciiTheme="minorHAnsi" w:eastAsia="Times New Roman" w:hAnsiTheme="minorHAnsi" w:cs="Arial"/>
          <w:bCs/>
          <w:sz w:val="20"/>
          <w:szCs w:val="20"/>
        </w:rPr>
        <w:t>56,5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Kč, z toho dotace </w:t>
      </w:r>
      <w:r>
        <w:rPr>
          <w:rFonts w:asciiTheme="minorHAnsi" w:eastAsia="Times New Roman" w:hAnsiTheme="minorHAnsi" w:cs="Arial"/>
          <w:bCs/>
          <w:sz w:val="20"/>
          <w:szCs w:val="20"/>
        </w:rPr>
        <w:t>36,3</w:t>
      </w:r>
      <w:r w:rsidRPr="00EF0C80">
        <w:rPr>
          <w:rFonts w:asciiTheme="minorHAnsi" w:eastAsia="Times New Roman" w:hAnsiTheme="minorHAnsi" w:cs="Arial"/>
          <w:bCs/>
          <w:sz w:val="20"/>
          <w:szCs w:val="20"/>
        </w:rPr>
        <w:t xml:space="preserve"> mil. Kč)</w:t>
      </w:r>
      <w:r w:rsidR="002B4039" w:rsidRPr="002B4039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2B4039" w:rsidRPr="00F747C1" w:rsidRDefault="002B4039" w:rsidP="002B4039">
      <w:pPr>
        <w:ind w:left="708"/>
        <w:rPr>
          <w:sz w:val="20"/>
          <w:szCs w:val="20"/>
        </w:rPr>
      </w:pPr>
    </w:p>
    <w:p w:rsidR="002B4039" w:rsidRPr="002B4039" w:rsidRDefault="002B4039" w:rsidP="007F178A">
      <w:pPr>
        <w:pStyle w:val="Odstavecseseznamem"/>
        <w:numPr>
          <w:ilvl w:val="0"/>
          <w:numId w:val="28"/>
        </w:numPr>
        <w:spacing w:after="160" w:line="259" w:lineRule="auto"/>
        <w:ind w:hanging="720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3A0B35">
        <w:rPr>
          <w:rFonts w:asciiTheme="minorHAnsi" w:eastAsia="Times New Roman" w:hAnsiTheme="minorHAnsi" w:cs="Arial"/>
          <w:b/>
          <w:sz w:val="20"/>
          <w:szCs w:val="20"/>
        </w:rPr>
        <w:t xml:space="preserve">Demolice budov v obchodně-podnikatelském areálu </w:t>
      </w:r>
      <w:proofErr w:type="gramStart"/>
      <w:r w:rsidRPr="003A0B35">
        <w:rPr>
          <w:rFonts w:asciiTheme="minorHAnsi" w:eastAsia="Times New Roman" w:hAnsiTheme="minorHAnsi" w:cs="Arial"/>
          <w:b/>
          <w:sz w:val="20"/>
          <w:szCs w:val="20"/>
        </w:rPr>
        <w:t>Ostrava - Mošnov</w:t>
      </w:r>
      <w:proofErr w:type="gramEnd"/>
      <w:r w:rsidRPr="002B403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AC5998" w:rsidRPr="00AC5998">
        <w:rPr>
          <w:rFonts w:asciiTheme="minorHAnsi" w:eastAsia="Times New Roman" w:hAnsiTheme="minorHAnsi" w:cs="Arial"/>
          <w:b/>
          <w:bCs/>
          <w:sz w:val="20"/>
          <w:szCs w:val="20"/>
        </w:rPr>
        <w:t>(I. a II. etapa)</w:t>
      </w:r>
      <w:r w:rsidR="00AC5998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3A0B35">
        <w:rPr>
          <w:rFonts w:asciiTheme="minorHAnsi" w:eastAsia="Times New Roman" w:hAnsiTheme="minorHAnsi" w:cs="Arial"/>
          <w:sz w:val="20"/>
          <w:szCs w:val="20"/>
        </w:rPr>
        <w:t>-</w:t>
      </w:r>
      <w:r w:rsidRPr="002B4039">
        <w:rPr>
          <w:rFonts w:asciiTheme="minorHAnsi" w:eastAsia="Times New Roman" w:hAnsiTheme="minorHAnsi" w:cs="Arial"/>
          <w:sz w:val="20"/>
          <w:szCs w:val="20"/>
        </w:rPr>
        <w:t xml:space="preserve"> projekt je východiskem vznikající koncepce budoucího využití obchodně-podnikatelského areálu, která směřuje k postupné estetizaci lokality v bezprostřední blízkosti letiště a vytvoření moderní komerční zóny na letiště navazující. </w:t>
      </w:r>
      <w:r w:rsidR="006F52CA">
        <w:rPr>
          <w:rFonts w:asciiTheme="minorHAnsi" w:eastAsia="Times New Roman" w:hAnsiTheme="minorHAnsi" w:cs="Arial"/>
          <w:sz w:val="20"/>
          <w:szCs w:val="20"/>
        </w:rPr>
        <w:br/>
        <w:t>V rámci I. etapy projektu se j</w:t>
      </w:r>
      <w:r w:rsidRPr="002B4039">
        <w:rPr>
          <w:rFonts w:asciiTheme="minorHAnsi" w:eastAsia="Times New Roman" w:hAnsiTheme="minorHAnsi" w:cs="Arial"/>
          <w:sz w:val="20"/>
          <w:szCs w:val="20"/>
        </w:rPr>
        <w:t>edná o demolici tří chátrajících a stavebně nevyhovujících objektů v areálu na ploše 5 744 m</w:t>
      </w:r>
      <w:r w:rsidRPr="00C57127">
        <w:rPr>
          <w:rFonts w:asciiTheme="minorHAnsi" w:eastAsia="Times New Roman" w:hAnsiTheme="minorHAnsi" w:cs="Arial"/>
          <w:sz w:val="20"/>
          <w:szCs w:val="20"/>
          <w:vertAlign w:val="superscript"/>
        </w:rPr>
        <w:t>2</w:t>
      </w:r>
      <w:r w:rsidRPr="002B4039">
        <w:rPr>
          <w:rFonts w:asciiTheme="minorHAnsi" w:eastAsia="Times New Roman" w:hAnsiTheme="minorHAnsi" w:cs="Arial"/>
          <w:sz w:val="20"/>
          <w:szCs w:val="20"/>
        </w:rPr>
        <w:t xml:space="preserve"> a následnou regeneraci plochy pro moderní záměry investorů.  </w:t>
      </w:r>
      <w:r w:rsidR="006F52CA">
        <w:rPr>
          <w:rFonts w:asciiTheme="minorHAnsi" w:eastAsia="Times New Roman" w:hAnsiTheme="minorHAnsi" w:cs="Arial"/>
          <w:sz w:val="20"/>
          <w:szCs w:val="20"/>
        </w:rPr>
        <w:t xml:space="preserve">Navazující II. etapa demolic počítá s dalšími čtyřmi objekty na ploše </w:t>
      </w:r>
      <w:r w:rsidR="00C57127">
        <w:rPr>
          <w:rFonts w:asciiTheme="minorHAnsi" w:eastAsia="Times New Roman" w:hAnsiTheme="minorHAnsi" w:cs="Arial"/>
          <w:sz w:val="20"/>
          <w:szCs w:val="20"/>
        </w:rPr>
        <w:t>8 029 m</w:t>
      </w:r>
      <w:r w:rsidR="00C57127">
        <w:rPr>
          <w:rFonts w:asciiTheme="minorHAnsi" w:eastAsia="Times New Roman" w:hAnsiTheme="minorHAnsi" w:cs="Arial"/>
          <w:sz w:val="20"/>
          <w:szCs w:val="20"/>
          <w:vertAlign w:val="superscript"/>
        </w:rPr>
        <w:t>2</w:t>
      </w:r>
      <w:r w:rsidR="00C57127">
        <w:rPr>
          <w:rFonts w:asciiTheme="minorHAnsi" w:eastAsia="Times New Roman" w:hAnsiTheme="minorHAnsi" w:cs="Arial"/>
          <w:sz w:val="20"/>
          <w:szCs w:val="20"/>
        </w:rPr>
        <w:t xml:space="preserve">. </w:t>
      </w:r>
    </w:p>
    <w:p w:rsidR="002B4039" w:rsidRDefault="00C57127" w:rsidP="007F178A">
      <w:pPr>
        <w:ind w:left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 I. i II. etapu demolic byla podána žádost o dotaci do programu</w:t>
      </w:r>
      <w:r w:rsidR="002B4039" w:rsidRPr="002B4039">
        <w:rPr>
          <w:rFonts w:asciiTheme="minorHAnsi" w:hAnsiTheme="minorHAnsi" w:cs="Arial"/>
          <w:sz w:val="20"/>
          <w:szCs w:val="20"/>
        </w:rPr>
        <w:t xml:space="preserve"> „Regenerace a podnikatelské využití brownfieldů“</w:t>
      </w:r>
      <w:r>
        <w:rPr>
          <w:rFonts w:asciiTheme="minorHAnsi" w:hAnsiTheme="minorHAnsi" w:cs="Arial"/>
          <w:sz w:val="20"/>
          <w:szCs w:val="20"/>
        </w:rPr>
        <w:t>, p</w:t>
      </w:r>
      <w:r w:rsidR="002B4039" w:rsidRPr="002B4039">
        <w:rPr>
          <w:rFonts w:asciiTheme="minorHAnsi" w:hAnsiTheme="minorHAnsi" w:cs="Arial"/>
          <w:sz w:val="20"/>
          <w:szCs w:val="20"/>
        </w:rPr>
        <w:t>oskytnutá dotace může dosáhnout až 70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2B4039" w:rsidRPr="002B4039">
        <w:rPr>
          <w:rFonts w:asciiTheme="minorHAnsi" w:hAnsiTheme="minorHAnsi" w:cs="Arial"/>
          <w:sz w:val="20"/>
          <w:szCs w:val="20"/>
        </w:rPr>
        <w:t>% způsobilých výdajů projektu</w:t>
      </w:r>
      <w:r>
        <w:rPr>
          <w:rFonts w:asciiTheme="minorHAnsi" w:hAnsiTheme="minorHAnsi" w:cs="Arial"/>
          <w:sz w:val="20"/>
          <w:szCs w:val="20"/>
        </w:rPr>
        <w:t xml:space="preserve">. V listopadu 2019 byla </w:t>
      </w:r>
      <w:r>
        <w:rPr>
          <w:rFonts w:asciiTheme="minorHAnsi" w:hAnsiTheme="minorHAnsi" w:cs="Arial"/>
          <w:sz w:val="20"/>
          <w:szCs w:val="20"/>
        </w:rPr>
        <w:lastRenderedPageBreak/>
        <w:t xml:space="preserve">schválena žádost o zařazení do dotačního programu pro I. etapu demolic a </w:t>
      </w:r>
      <w:r w:rsidR="00A82729">
        <w:rPr>
          <w:rFonts w:asciiTheme="minorHAnsi" w:hAnsiTheme="minorHAnsi" w:cs="Arial"/>
          <w:sz w:val="20"/>
          <w:szCs w:val="20"/>
        </w:rPr>
        <w:t>počátkem ledna 2020 odeslána žádost o registraci projektu ze strany města. Realizace demolice objektů v I. etapě se předpokládá po vydání registračního listu ze strany poskytovatele dotace</w:t>
      </w:r>
      <w:r w:rsidR="00951104">
        <w:rPr>
          <w:rFonts w:asciiTheme="minorHAnsi" w:hAnsiTheme="minorHAnsi" w:cs="Arial"/>
          <w:sz w:val="20"/>
          <w:szCs w:val="20"/>
        </w:rPr>
        <w:t>,</w:t>
      </w:r>
      <w:r w:rsidR="00A82729">
        <w:rPr>
          <w:rFonts w:asciiTheme="minorHAnsi" w:hAnsiTheme="minorHAnsi" w:cs="Arial"/>
          <w:sz w:val="20"/>
          <w:szCs w:val="20"/>
        </w:rPr>
        <w:t xml:space="preserve"> Ministerstva průmyslu a obchodu</w:t>
      </w:r>
      <w:r w:rsidR="00951104">
        <w:rPr>
          <w:rFonts w:asciiTheme="minorHAnsi" w:hAnsiTheme="minorHAnsi" w:cs="Arial"/>
          <w:sz w:val="20"/>
          <w:szCs w:val="20"/>
        </w:rPr>
        <w:t xml:space="preserve">, </w:t>
      </w:r>
      <w:r w:rsidR="00A82729">
        <w:rPr>
          <w:rFonts w:asciiTheme="minorHAnsi" w:hAnsiTheme="minorHAnsi" w:cs="Arial"/>
          <w:sz w:val="20"/>
          <w:szCs w:val="20"/>
        </w:rPr>
        <w:t xml:space="preserve">v I. pol. r. 2020. </w:t>
      </w:r>
    </w:p>
    <w:p w:rsidR="00A82729" w:rsidRDefault="00A82729" w:rsidP="007F178A">
      <w:pPr>
        <w:ind w:left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 rámci II. etapy je očekáváno otevření IV. výzvy k zařazení žádosti do programu a připravovány podklady, tj. projektová dokumentace demolic a ekologický audit. </w:t>
      </w:r>
    </w:p>
    <w:p w:rsidR="001F6982" w:rsidRDefault="001F6982" w:rsidP="007F178A">
      <w:pPr>
        <w:ind w:left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Předpokládané způsobilé výdaje I. etapy demolic činí 3,66 mil. Kč a v případě II. etapy se jedná o 5,1 mil. Kč </w:t>
      </w:r>
      <w:r w:rsidR="002A118E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 xml:space="preserve">(bez DPH). </w:t>
      </w:r>
    </w:p>
    <w:p w:rsidR="000E2FAA" w:rsidRDefault="000E2FAA" w:rsidP="007F178A">
      <w:pPr>
        <w:ind w:left="708"/>
        <w:jc w:val="both"/>
        <w:rPr>
          <w:rFonts w:asciiTheme="minorHAnsi" w:hAnsiTheme="minorHAnsi" w:cs="Arial"/>
          <w:sz w:val="20"/>
          <w:szCs w:val="20"/>
        </w:rPr>
      </w:pPr>
    </w:p>
    <w:p w:rsidR="000E2FAA" w:rsidRDefault="000E2FAA" w:rsidP="007F178A">
      <w:pPr>
        <w:ind w:left="708"/>
        <w:jc w:val="both"/>
        <w:rPr>
          <w:rFonts w:asciiTheme="minorHAnsi" w:hAnsiTheme="minorHAnsi" w:cs="Arial"/>
          <w:b/>
          <w:sz w:val="20"/>
          <w:szCs w:val="20"/>
        </w:rPr>
      </w:pPr>
      <w:r w:rsidRPr="000E2FAA">
        <w:rPr>
          <w:rFonts w:asciiTheme="minorHAnsi" w:hAnsiTheme="minorHAnsi" w:cs="Arial"/>
          <w:b/>
          <w:sz w:val="20"/>
          <w:szCs w:val="20"/>
        </w:rPr>
        <w:t xml:space="preserve">Sumarizace celkových prodejů v zóně a podmínky dotace </w:t>
      </w:r>
    </w:p>
    <w:p w:rsidR="000E2FAA" w:rsidRDefault="000E2FAA" w:rsidP="007F178A">
      <w:pPr>
        <w:ind w:left="708"/>
        <w:jc w:val="both"/>
        <w:rPr>
          <w:rFonts w:asciiTheme="minorHAnsi" w:hAnsiTheme="minorHAnsi" w:cs="Arial"/>
          <w:b/>
          <w:sz w:val="20"/>
          <w:szCs w:val="20"/>
        </w:rPr>
      </w:pPr>
    </w:p>
    <w:p w:rsidR="000E2FAA" w:rsidRPr="00D84666" w:rsidRDefault="00D84666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 w:rsidRPr="00D84666">
        <w:rPr>
          <w:rFonts w:asciiTheme="minorHAnsi" w:hAnsiTheme="minorHAnsi" w:cs="Arial"/>
          <w:sz w:val="20"/>
          <w:szCs w:val="20"/>
        </w:rPr>
        <w:t>p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okud </w:t>
      </w:r>
      <w:r w:rsidRPr="00D84666">
        <w:rPr>
          <w:rFonts w:asciiTheme="minorHAnsi" w:hAnsiTheme="minorHAnsi" w:cs="Arial"/>
          <w:sz w:val="20"/>
          <w:szCs w:val="20"/>
        </w:rPr>
        <w:t xml:space="preserve">realizované 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příjmy z celkových prodejů </w:t>
      </w:r>
      <w:r w:rsidRPr="00D84666">
        <w:rPr>
          <w:rFonts w:asciiTheme="minorHAnsi" w:hAnsiTheme="minorHAnsi" w:cs="Arial"/>
          <w:sz w:val="20"/>
          <w:szCs w:val="20"/>
        </w:rPr>
        <w:t xml:space="preserve">v zóně dosáhnou míry spolufinancování města Ostravy, které bylo poskytnuto k dotaci státu na vybudování SPZ Ostrava </w:t>
      </w:r>
      <w:r>
        <w:rPr>
          <w:rFonts w:asciiTheme="minorHAnsi" w:hAnsiTheme="minorHAnsi" w:cs="Arial"/>
          <w:sz w:val="20"/>
          <w:szCs w:val="20"/>
        </w:rPr>
        <w:t>-</w:t>
      </w:r>
      <w:r w:rsidRPr="00D84666">
        <w:rPr>
          <w:rFonts w:asciiTheme="minorHAnsi" w:hAnsiTheme="minorHAnsi" w:cs="Arial"/>
          <w:sz w:val="20"/>
          <w:szCs w:val="20"/>
        </w:rPr>
        <w:t xml:space="preserve"> Mošnov (celkové náklady </w:t>
      </w:r>
      <w:r w:rsidR="00597FA0">
        <w:rPr>
          <w:rFonts w:asciiTheme="minorHAnsi" w:hAnsiTheme="minorHAnsi" w:cs="Arial"/>
          <w:sz w:val="20"/>
          <w:szCs w:val="20"/>
        </w:rPr>
        <w:t xml:space="preserve">pro obě etapy výstavby </w:t>
      </w:r>
      <w:r w:rsidRPr="00D84666">
        <w:rPr>
          <w:rFonts w:asciiTheme="minorHAnsi" w:hAnsiTheme="minorHAnsi" w:cs="Arial"/>
          <w:sz w:val="20"/>
          <w:szCs w:val="20"/>
        </w:rPr>
        <w:t>1</w:t>
      </w:r>
      <w:r w:rsidR="00722661">
        <w:rPr>
          <w:rFonts w:asciiTheme="minorHAnsi" w:hAnsiTheme="minorHAnsi" w:cs="Arial"/>
          <w:sz w:val="20"/>
          <w:szCs w:val="20"/>
        </w:rPr>
        <w:t> 110,6</w:t>
      </w:r>
      <w:r w:rsidRPr="00D84666">
        <w:rPr>
          <w:rFonts w:asciiTheme="minorHAnsi" w:hAnsiTheme="minorHAnsi" w:cs="Arial"/>
          <w:sz w:val="20"/>
          <w:szCs w:val="20"/>
        </w:rPr>
        <w:t xml:space="preserve"> mil. Kč, z toho dotace státu činila </w:t>
      </w:r>
      <w:r w:rsidR="00722661">
        <w:rPr>
          <w:rFonts w:asciiTheme="minorHAnsi" w:hAnsiTheme="minorHAnsi" w:cs="Arial"/>
          <w:sz w:val="20"/>
          <w:szCs w:val="20"/>
        </w:rPr>
        <w:t>823</w:t>
      </w:r>
      <w:r w:rsidR="00211C15">
        <w:rPr>
          <w:rFonts w:asciiTheme="minorHAnsi" w:hAnsiTheme="minorHAnsi" w:cs="Arial"/>
          <w:sz w:val="20"/>
          <w:szCs w:val="20"/>
        </w:rPr>
        <w:t>,3</w:t>
      </w:r>
      <w:r w:rsidRPr="00D84666">
        <w:rPr>
          <w:rFonts w:asciiTheme="minorHAnsi" w:hAnsiTheme="minorHAnsi" w:cs="Arial"/>
          <w:sz w:val="20"/>
          <w:szCs w:val="20"/>
        </w:rPr>
        <w:t xml:space="preserve"> mil. Kč a podíl města </w:t>
      </w:r>
      <w:r w:rsidR="00211C15">
        <w:rPr>
          <w:rFonts w:asciiTheme="minorHAnsi" w:hAnsiTheme="minorHAnsi" w:cs="Arial"/>
          <w:sz w:val="20"/>
          <w:szCs w:val="20"/>
        </w:rPr>
        <w:t>287,3</w:t>
      </w:r>
      <w:r w:rsidRPr="00D84666">
        <w:rPr>
          <w:rFonts w:asciiTheme="minorHAnsi" w:hAnsiTheme="minorHAnsi" w:cs="Arial"/>
          <w:sz w:val="20"/>
          <w:szCs w:val="20"/>
        </w:rPr>
        <w:t xml:space="preserve"> mil. Kč), je město jako příjemce dotace povinno veškeré příjmy nad rámec svého spolufinancování vrátit do státního rozpočtu</w:t>
      </w:r>
      <w:r w:rsidR="00AD5107">
        <w:rPr>
          <w:rFonts w:asciiTheme="minorHAnsi" w:hAnsiTheme="minorHAnsi" w:cs="Arial"/>
          <w:sz w:val="20"/>
          <w:szCs w:val="20"/>
        </w:rPr>
        <w:t>.</w:t>
      </w:r>
    </w:p>
    <w:p w:rsidR="00D84666" w:rsidRDefault="003B688A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</w:t>
      </w:r>
      <w:r w:rsidR="001F6982">
        <w:rPr>
          <w:rFonts w:asciiTheme="minorHAnsi" w:hAnsiTheme="minorHAnsi" w:cs="Arial"/>
          <w:sz w:val="20"/>
          <w:szCs w:val="20"/>
        </w:rPr>
        <w:t>ilanční rozdíl mezi výnosy zóny a způsobilými náklady města realizovanými v rámci dotačních projektů I. a II. etapy technické infrastruktury lze se souhlasem Správce programu ponížit o nezpůsobilé náklady vynaložené do správy a údržby lokality a dobudování či rekonstrukce dopravní a technické infrastruktury</w:t>
      </w:r>
      <w:r>
        <w:rPr>
          <w:rFonts w:asciiTheme="minorHAnsi" w:hAnsiTheme="minorHAnsi" w:cs="Arial"/>
          <w:sz w:val="20"/>
          <w:szCs w:val="20"/>
        </w:rPr>
        <w:t xml:space="preserve">; na základě zmapování těchto výdajů byla v prosinci 2019 odeslána na Správce programu žádost o souhlas s použitím výnosů ze zóny (započtení proti výnosům) </w:t>
      </w:r>
      <w:r w:rsidRPr="00F12783">
        <w:rPr>
          <w:rFonts w:asciiTheme="minorHAnsi" w:hAnsiTheme="minorHAnsi" w:cs="Arial"/>
          <w:b/>
          <w:bCs/>
          <w:sz w:val="20"/>
          <w:szCs w:val="20"/>
        </w:rPr>
        <w:t>ve výši 31 mil. Kč</w:t>
      </w:r>
      <w:r w:rsidR="00214F91">
        <w:rPr>
          <w:rFonts w:asciiTheme="minorHAnsi" w:hAnsiTheme="minorHAnsi" w:cs="Arial"/>
          <w:sz w:val="20"/>
          <w:szCs w:val="20"/>
        </w:rPr>
        <w:t>, která je aktuálně posuzována.</w:t>
      </w:r>
    </w:p>
    <w:p w:rsidR="003B688A" w:rsidRDefault="003B688A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vzhledem k tomu, že v lednu 2020 došlo na základě úhrad za prodej pozemků společnostem skupiny CONCENS INVESTMENTS pro účely výstavby projektu Ostrava </w:t>
      </w:r>
      <w:proofErr w:type="spellStart"/>
      <w:r>
        <w:rPr>
          <w:rFonts w:asciiTheme="minorHAnsi" w:hAnsiTheme="minorHAnsi" w:cs="Arial"/>
          <w:sz w:val="20"/>
          <w:szCs w:val="20"/>
        </w:rPr>
        <w:t>Airport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Multimodal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Park k převýšení inkasovaných příjmů ze zóny vůči vynaloženým nákladům města, byl na poskytovatele dotace vznesen dotaz k dalšímu postupu evidence příjmů a výdajů zóny (založení </w:t>
      </w:r>
      <w:r w:rsidR="00214F91">
        <w:rPr>
          <w:rFonts w:asciiTheme="minorHAnsi" w:hAnsiTheme="minorHAnsi" w:cs="Arial"/>
          <w:sz w:val="20"/>
          <w:szCs w:val="20"/>
        </w:rPr>
        <w:t>samostatného účtu pro usnadnění evidence a sledování dalšího vývoje), otázce udržitelnosti projektu a s tím spojené povinnosti města vrátit případné kladné saldo účtu na účet Správce programu</w:t>
      </w:r>
      <w:r w:rsidR="00F31933">
        <w:rPr>
          <w:rFonts w:asciiTheme="minorHAnsi" w:hAnsiTheme="minorHAnsi" w:cs="Arial"/>
          <w:sz w:val="20"/>
          <w:szCs w:val="20"/>
        </w:rPr>
        <w:t>.</w:t>
      </w:r>
    </w:p>
    <w:p w:rsidR="009552E7" w:rsidRDefault="00214F91" w:rsidP="009552E7">
      <w:pPr>
        <w:pStyle w:val="Odstavecseseznamem"/>
        <w:numPr>
          <w:ilvl w:val="0"/>
          <w:numId w:val="2"/>
        </w:numPr>
        <w:spacing w:after="120"/>
        <w:ind w:left="709" w:hanging="100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aktuální bilance příjmů vůči výdajům činí 39,5 mil. Kč, v případě kladného posouzení žádosti odeslané v 12/2019 se schodek příjmů sníží o 31 mil. Kč na cca 8,5 mil. Kč. </w:t>
      </w:r>
    </w:p>
    <w:p w:rsidR="00A5471D" w:rsidRPr="00A5471D" w:rsidRDefault="00A5471D" w:rsidP="009552E7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D84666">
        <w:rPr>
          <w:rFonts w:asciiTheme="minorHAnsi" w:hAnsiTheme="minorHAnsi" w:cs="Arial"/>
          <w:sz w:val="20"/>
          <w:szCs w:val="20"/>
        </w:rPr>
        <w:t xml:space="preserve"> </w:t>
      </w:r>
      <w:r w:rsidR="000E2FAA" w:rsidRPr="00D84666">
        <w:rPr>
          <w:rFonts w:asciiTheme="minorHAnsi" w:hAnsiTheme="minorHAnsi" w:cs="Arial"/>
          <w:sz w:val="20"/>
          <w:szCs w:val="20"/>
        </w:rPr>
        <w:t xml:space="preserve"> </w:t>
      </w:r>
    </w:p>
    <w:p w:rsidR="00022B43" w:rsidRPr="008E27DD" w:rsidRDefault="00A305C6" w:rsidP="008A42ED">
      <w:pPr>
        <w:pStyle w:val="Zkladntext"/>
        <w:numPr>
          <w:ilvl w:val="0"/>
          <w:numId w:val="1"/>
        </w:numPr>
        <w:spacing w:after="120"/>
        <w:ind w:left="641" w:hanging="357"/>
        <w:jc w:val="left"/>
        <w:rPr>
          <w:rFonts w:asciiTheme="minorHAnsi" w:hAnsiTheme="minorHAnsi" w:cs="Arial"/>
          <w:b/>
          <w:sz w:val="22"/>
          <w:szCs w:val="22"/>
        </w:rPr>
      </w:pPr>
      <w:r w:rsidRPr="008E27DD">
        <w:rPr>
          <w:rFonts w:asciiTheme="minorHAnsi" w:hAnsiTheme="minorHAnsi" w:cs="Arial"/>
          <w:b/>
          <w:sz w:val="22"/>
          <w:szCs w:val="22"/>
        </w:rPr>
        <w:t>Rozvojov</w:t>
      </w:r>
      <w:r w:rsidR="00074263" w:rsidRPr="008E27DD">
        <w:rPr>
          <w:rFonts w:asciiTheme="minorHAnsi" w:hAnsiTheme="minorHAnsi" w:cs="Arial"/>
          <w:b/>
          <w:sz w:val="22"/>
          <w:szCs w:val="22"/>
        </w:rPr>
        <w:t>á</w:t>
      </w:r>
      <w:r w:rsidRPr="008E27DD">
        <w:rPr>
          <w:rFonts w:asciiTheme="minorHAnsi" w:hAnsiTheme="minorHAnsi" w:cs="Arial"/>
          <w:b/>
          <w:sz w:val="22"/>
          <w:szCs w:val="22"/>
        </w:rPr>
        <w:t xml:space="preserve"> zón</w:t>
      </w:r>
      <w:r w:rsidR="00074263" w:rsidRPr="008E27DD">
        <w:rPr>
          <w:rFonts w:asciiTheme="minorHAnsi" w:hAnsiTheme="minorHAnsi" w:cs="Arial"/>
          <w:b/>
          <w:sz w:val="22"/>
          <w:szCs w:val="22"/>
        </w:rPr>
        <w:t>a</w:t>
      </w:r>
      <w:r w:rsidRPr="008E27DD">
        <w:rPr>
          <w:rFonts w:asciiTheme="minorHAnsi" w:hAnsiTheme="minorHAnsi" w:cs="Arial"/>
          <w:b/>
          <w:sz w:val="22"/>
          <w:szCs w:val="22"/>
        </w:rPr>
        <w:t xml:space="preserve"> Hrušov </w:t>
      </w:r>
    </w:p>
    <w:p w:rsidR="00A3086B" w:rsidRPr="00253E3C" w:rsidRDefault="000D63DD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původně </w:t>
      </w:r>
      <w:r w:rsidR="00A3086B">
        <w:rPr>
          <w:rFonts w:asciiTheme="minorHAnsi" w:hAnsiTheme="minorHAnsi" w:cs="Arial"/>
          <w:sz w:val="20"/>
          <w:szCs w:val="20"/>
        </w:rPr>
        <w:t xml:space="preserve">lokalita </w:t>
      </w:r>
      <w:r>
        <w:rPr>
          <w:rFonts w:asciiTheme="minorHAnsi" w:hAnsiTheme="minorHAnsi" w:cs="Arial"/>
          <w:sz w:val="20"/>
          <w:szCs w:val="20"/>
        </w:rPr>
        <w:t xml:space="preserve">charakteru „sociálního brownfieldu“ </w:t>
      </w:r>
      <w:r w:rsidR="00A3086B">
        <w:rPr>
          <w:rFonts w:asciiTheme="minorHAnsi" w:hAnsiTheme="minorHAnsi" w:cs="Arial"/>
          <w:sz w:val="20"/>
          <w:szCs w:val="20"/>
        </w:rPr>
        <w:t xml:space="preserve">o velikosti 35 ha, k jejíž devastaci a vysídlení </w:t>
      </w:r>
      <w:r>
        <w:rPr>
          <w:rFonts w:asciiTheme="minorHAnsi" w:hAnsiTheme="minorHAnsi" w:cs="Arial"/>
          <w:sz w:val="20"/>
          <w:szCs w:val="20"/>
        </w:rPr>
        <w:t>docházelo</w:t>
      </w:r>
      <w:r w:rsidR="00A3086B">
        <w:rPr>
          <w:rFonts w:asciiTheme="minorHAnsi" w:hAnsiTheme="minorHAnsi" w:cs="Arial"/>
          <w:sz w:val="20"/>
          <w:szCs w:val="20"/>
        </w:rPr>
        <w:t xml:space="preserve"> postupně po povodních v roce 1997</w:t>
      </w:r>
      <w:r w:rsidR="00A3086B" w:rsidRPr="00253E3C">
        <w:rPr>
          <w:rFonts w:asciiTheme="minorHAnsi" w:hAnsiTheme="minorHAnsi" w:cs="Arial"/>
          <w:sz w:val="20"/>
          <w:szCs w:val="20"/>
        </w:rPr>
        <w:t>; území je dle územně plánovací dokumentace funkčně začleněno jako oblast pro lehký průmysl, sklady a drobnou výrobu s vyloučením funkce bydlení;</w:t>
      </w:r>
    </w:p>
    <w:p w:rsidR="00A3086B" w:rsidRPr="00A3086B" w:rsidRDefault="00633A91" w:rsidP="00EB72F8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listopadu 2018 získala pozemky v lokalitě na základě developerské soutěže společnost</w:t>
      </w:r>
      <w:r w:rsidR="00A3086B" w:rsidRPr="00A3086B">
        <w:rPr>
          <w:rFonts w:asciiTheme="minorHAnsi" w:hAnsiTheme="minorHAnsi" w:cs="Arial"/>
          <w:sz w:val="20"/>
          <w:szCs w:val="20"/>
        </w:rPr>
        <w:t xml:space="preserve"> CONTERA Management </w:t>
      </w:r>
      <w:r>
        <w:rPr>
          <w:rFonts w:asciiTheme="minorHAnsi" w:hAnsiTheme="minorHAnsi" w:cs="Arial"/>
          <w:sz w:val="20"/>
          <w:szCs w:val="20"/>
        </w:rPr>
        <w:br/>
      </w:r>
      <w:r w:rsidR="00A3086B" w:rsidRPr="00A3086B">
        <w:rPr>
          <w:rFonts w:asciiTheme="minorHAnsi" w:hAnsiTheme="minorHAnsi" w:cs="Arial"/>
          <w:sz w:val="20"/>
          <w:szCs w:val="20"/>
        </w:rPr>
        <w:t xml:space="preserve">s. r. o., a to za cenu 255 mil. Kč bez DPH; </w:t>
      </w:r>
      <w:r>
        <w:rPr>
          <w:rFonts w:asciiTheme="minorHAnsi" w:hAnsiTheme="minorHAnsi" w:cs="Arial"/>
          <w:sz w:val="20"/>
          <w:szCs w:val="20"/>
        </w:rPr>
        <w:t xml:space="preserve">záměrem developera je vybudovat v území moderní business park evropské úrovně, který bude tvořen objekty pro lehký průmysl, </w:t>
      </w:r>
      <w:proofErr w:type="spellStart"/>
      <w:r>
        <w:rPr>
          <w:rFonts w:asciiTheme="minorHAnsi" w:hAnsiTheme="minorHAnsi" w:cs="Arial"/>
          <w:sz w:val="20"/>
          <w:szCs w:val="20"/>
        </w:rPr>
        <w:t>Flexispace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objekty a objekty typu Vědeckotechnologického parku, přičemž celková investice je odhadována na 1,6 až 1,9 mld. Kč;</w:t>
      </w:r>
    </w:p>
    <w:p w:rsidR="001C6345" w:rsidRPr="00A3086B" w:rsidRDefault="001C6345" w:rsidP="001C6345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A3086B">
        <w:rPr>
          <w:rFonts w:asciiTheme="minorHAnsi" w:hAnsiTheme="minorHAnsi" w:cs="Arial"/>
          <w:sz w:val="20"/>
          <w:szCs w:val="20"/>
        </w:rPr>
        <w:t>výstavba na pozemcích je plánována v rámci pěti etap, zastavěno bude min. 58 310 m</w:t>
      </w:r>
      <w:r w:rsidRPr="001C6345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Pr="00A3086B">
        <w:rPr>
          <w:rFonts w:asciiTheme="minorHAnsi" w:hAnsiTheme="minorHAnsi" w:cs="Arial"/>
          <w:sz w:val="20"/>
          <w:szCs w:val="20"/>
        </w:rPr>
        <w:t xml:space="preserve"> plochy a poslední etapa by měla být dokončena k 12/2025. K měsíci 12/2028 se investor zavázal vytvořit min. 703 nových pracovních míst</w:t>
      </w:r>
      <w:r>
        <w:rPr>
          <w:rFonts w:asciiTheme="minorHAnsi" w:hAnsiTheme="minorHAnsi" w:cs="Arial"/>
          <w:sz w:val="20"/>
          <w:szCs w:val="20"/>
        </w:rPr>
        <w:t>, z toho alespoň 200 pozic v rámci vědecko-techn</w:t>
      </w:r>
      <w:r w:rsidR="00885911">
        <w:rPr>
          <w:rFonts w:asciiTheme="minorHAnsi" w:hAnsiTheme="minorHAnsi" w:cs="Arial"/>
          <w:sz w:val="20"/>
          <w:szCs w:val="20"/>
        </w:rPr>
        <w:t>ologi</w:t>
      </w:r>
      <w:r>
        <w:rPr>
          <w:rFonts w:asciiTheme="minorHAnsi" w:hAnsiTheme="minorHAnsi" w:cs="Arial"/>
          <w:sz w:val="20"/>
          <w:szCs w:val="20"/>
        </w:rPr>
        <w:t>ckého parku</w:t>
      </w:r>
      <w:r w:rsidRPr="00A3086B">
        <w:rPr>
          <w:rFonts w:asciiTheme="minorHAnsi" w:hAnsiTheme="minorHAnsi" w:cs="Arial"/>
          <w:sz w:val="20"/>
          <w:szCs w:val="20"/>
        </w:rPr>
        <w:t>;</w:t>
      </w:r>
    </w:p>
    <w:p w:rsidR="00A3086B" w:rsidRDefault="00A3086B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A3086B">
        <w:rPr>
          <w:rFonts w:asciiTheme="minorHAnsi" w:hAnsiTheme="minorHAnsi" w:cs="Arial"/>
          <w:sz w:val="20"/>
          <w:szCs w:val="20"/>
        </w:rPr>
        <w:t>k projektu byla zřízena pracovní skupina ze zástupců jednotlivých odborů města a investora, v </w:t>
      </w:r>
      <w:proofErr w:type="gramStart"/>
      <w:r w:rsidRPr="00A3086B">
        <w:rPr>
          <w:rFonts w:asciiTheme="minorHAnsi" w:hAnsiTheme="minorHAnsi" w:cs="Arial"/>
          <w:sz w:val="20"/>
          <w:szCs w:val="20"/>
        </w:rPr>
        <w:t>rámci</w:t>
      </w:r>
      <w:proofErr w:type="gramEnd"/>
      <w:r w:rsidRPr="00A3086B">
        <w:rPr>
          <w:rFonts w:asciiTheme="minorHAnsi" w:hAnsiTheme="minorHAnsi" w:cs="Arial"/>
          <w:sz w:val="20"/>
          <w:szCs w:val="20"/>
        </w:rPr>
        <w:t xml:space="preserve"> které jsou průběžně řešeny úkoly související s přípravou projektu pro zajištění jeho plynulého postupu (věcná břemena v území, požadavky na připojení k</w:t>
      </w:r>
      <w:r w:rsidR="00333587">
        <w:rPr>
          <w:rFonts w:asciiTheme="minorHAnsi" w:hAnsiTheme="minorHAnsi" w:cs="Arial"/>
          <w:sz w:val="20"/>
          <w:szCs w:val="20"/>
        </w:rPr>
        <w:t> inženýrským sítím</w:t>
      </w:r>
      <w:r w:rsidRPr="00A3086B">
        <w:rPr>
          <w:rFonts w:asciiTheme="minorHAnsi" w:hAnsiTheme="minorHAnsi" w:cs="Arial"/>
          <w:sz w:val="20"/>
          <w:szCs w:val="20"/>
        </w:rPr>
        <w:t xml:space="preserve">, koordinace s projekty OZO Ostrava a další). </w:t>
      </w:r>
    </w:p>
    <w:p w:rsidR="00D90A9D" w:rsidRDefault="00D90A9D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ke konci sledovaného období bylo investorem zrealizováno kácení dřevin v lokalitě, vyřešeno vynětí </w:t>
      </w:r>
      <w:r w:rsidR="001F7CBE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ze zemědělského a lesního půdního fondu</w:t>
      </w:r>
      <w:r w:rsidR="007358E9">
        <w:rPr>
          <w:rFonts w:asciiTheme="minorHAnsi" w:hAnsiTheme="minorHAnsi" w:cs="Arial"/>
          <w:sz w:val="20"/>
          <w:szCs w:val="20"/>
        </w:rPr>
        <w:t xml:space="preserve"> a</w:t>
      </w:r>
      <w:r>
        <w:rPr>
          <w:rFonts w:asciiTheme="minorHAnsi" w:hAnsiTheme="minorHAnsi" w:cs="Arial"/>
          <w:sz w:val="20"/>
          <w:szCs w:val="20"/>
        </w:rPr>
        <w:t xml:space="preserve"> vydána EIA</w:t>
      </w:r>
      <w:r w:rsidR="007358E9">
        <w:rPr>
          <w:rFonts w:asciiTheme="minorHAnsi" w:hAnsiTheme="minorHAnsi" w:cs="Arial"/>
          <w:sz w:val="20"/>
          <w:szCs w:val="20"/>
        </w:rPr>
        <w:t>;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D90A9D" w:rsidRDefault="00D90A9D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dále bylo vydána změna ÚR na terénní úpravy, stavební povolení na terénní úpravy, územní rozhodnutí na páteřní infrastrukturu</w:t>
      </w:r>
      <w:r w:rsidR="00B60F6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povolení k odstranění vodních děl</w:t>
      </w:r>
      <w:r w:rsidR="00B60F61">
        <w:rPr>
          <w:rFonts w:asciiTheme="minorHAnsi" w:hAnsiTheme="minorHAnsi" w:cs="Arial"/>
          <w:sz w:val="20"/>
          <w:szCs w:val="20"/>
        </w:rPr>
        <w:t xml:space="preserve"> a územní rozhodnutí na objekty LP1, LP2 a FL1 (</w:t>
      </w:r>
      <w:r w:rsidR="006D350C">
        <w:rPr>
          <w:rFonts w:asciiTheme="minorHAnsi" w:hAnsiTheme="minorHAnsi" w:cs="Arial"/>
          <w:sz w:val="20"/>
          <w:szCs w:val="20"/>
        </w:rPr>
        <w:t xml:space="preserve">poslední jmenované rozhodnutí v </w:t>
      </w:r>
      <w:r w:rsidR="00B60F61">
        <w:rPr>
          <w:rFonts w:asciiTheme="minorHAnsi" w:hAnsiTheme="minorHAnsi" w:cs="Arial"/>
          <w:sz w:val="20"/>
          <w:szCs w:val="20"/>
        </w:rPr>
        <w:t>02/2020</w:t>
      </w:r>
      <w:r w:rsidR="006D350C">
        <w:rPr>
          <w:rFonts w:asciiTheme="minorHAnsi" w:hAnsiTheme="minorHAnsi" w:cs="Arial"/>
          <w:sz w:val="20"/>
          <w:szCs w:val="20"/>
        </w:rPr>
        <w:t>, zatím nenabylo právní moci</w:t>
      </w:r>
      <w:r w:rsidR="00B60F61">
        <w:rPr>
          <w:rFonts w:asciiTheme="minorHAnsi" w:hAnsiTheme="minorHAnsi" w:cs="Arial"/>
          <w:sz w:val="20"/>
          <w:szCs w:val="20"/>
        </w:rPr>
        <w:t>)</w:t>
      </w:r>
      <w:r w:rsidR="007358E9">
        <w:rPr>
          <w:rFonts w:asciiTheme="minorHAnsi" w:hAnsiTheme="minorHAnsi" w:cs="Arial"/>
          <w:sz w:val="20"/>
          <w:szCs w:val="20"/>
        </w:rPr>
        <w:t>;</w:t>
      </w:r>
    </w:p>
    <w:p w:rsidR="00D90A9D" w:rsidRDefault="00D90A9D" w:rsidP="00A3086B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vydání stavebního povolení </w:t>
      </w:r>
      <w:r w:rsidR="005131E2">
        <w:rPr>
          <w:rFonts w:asciiTheme="minorHAnsi" w:hAnsiTheme="minorHAnsi" w:cs="Arial"/>
          <w:sz w:val="20"/>
          <w:szCs w:val="20"/>
        </w:rPr>
        <w:t xml:space="preserve">na páteřní infrastrukturu </w:t>
      </w:r>
      <w:r w:rsidR="00B60F61">
        <w:rPr>
          <w:rFonts w:asciiTheme="minorHAnsi" w:hAnsiTheme="minorHAnsi" w:cs="Arial"/>
          <w:sz w:val="20"/>
          <w:szCs w:val="20"/>
        </w:rPr>
        <w:t xml:space="preserve">se předpokládá </w:t>
      </w:r>
      <w:r w:rsidR="005131E2">
        <w:rPr>
          <w:rFonts w:asciiTheme="minorHAnsi" w:hAnsiTheme="minorHAnsi" w:cs="Arial"/>
          <w:sz w:val="20"/>
          <w:szCs w:val="20"/>
        </w:rPr>
        <w:t xml:space="preserve">v 03 </w:t>
      </w:r>
      <w:r w:rsidR="007358E9">
        <w:rPr>
          <w:rFonts w:asciiTheme="minorHAnsi" w:hAnsiTheme="minorHAnsi" w:cs="Arial"/>
          <w:sz w:val="20"/>
          <w:szCs w:val="20"/>
        </w:rPr>
        <w:t>až</w:t>
      </w:r>
      <w:r w:rsidR="005131E2">
        <w:rPr>
          <w:rFonts w:asciiTheme="minorHAnsi" w:hAnsiTheme="minorHAnsi" w:cs="Arial"/>
          <w:sz w:val="20"/>
          <w:szCs w:val="20"/>
        </w:rPr>
        <w:t xml:space="preserve"> 04/2020 a vydání stavebního povolení na objekty LP1, LP2 a FL1 v 04/2020.</w:t>
      </w:r>
    </w:p>
    <w:p w:rsidR="006B6D01" w:rsidRDefault="006B6D01" w:rsidP="006B6D01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:rsidR="006B6D01" w:rsidRDefault="006B6D01" w:rsidP="006B6D01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D90A9D" w:rsidRDefault="00D90A9D" w:rsidP="00D90A9D">
      <w:pPr>
        <w:pStyle w:val="Zkladntext"/>
        <w:spacing w:after="120"/>
        <w:rPr>
          <w:rFonts w:asciiTheme="minorHAnsi" w:hAnsiTheme="minorHAnsi" w:cs="Arial"/>
          <w:sz w:val="20"/>
          <w:szCs w:val="20"/>
        </w:rPr>
      </w:pPr>
    </w:p>
    <w:p w:rsidR="008F68EE" w:rsidRPr="00C05C75" w:rsidRDefault="00C853DE" w:rsidP="008A42ED">
      <w:pPr>
        <w:pStyle w:val="Zkladntext"/>
        <w:numPr>
          <w:ilvl w:val="0"/>
          <w:numId w:val="1"/>
        </w:numPr>
        <w:spacing w:after="120"/>
        <w:ind w:left="284" w:hanging="357"/>
        <w:rPr>
          <w:rFonts w:asciiTheme="minorHAnsi" w:hAnsiTheme="minorHAnsi" w:cs="Arial"/>
          <w:sz w:val="20"/>
          <w:szCs w:val="20"/>
        </w:rPr>
      </w:pPr>
      <w:r w:rsidRPr="00C05C75">
        <w:rPr>
          <w:rFonts w:asciiTheme="minorHAnsi" w:hAnsiTheme="minorHAnsi" w:cs="Arial"/>
          <w:b/>
          <w:sz w:val="22"/>
          <w:szCs w:val="22"/>
        </w:rPr>
        <w:lastRenderedPageBreak/>
        <w:t xml:space="preserve">Moravskoslezské inovační centrum </w:t>
      </w:r>
      <w:r w:rsidR="00C05C75">
        <w:rPr>
          <w:rFonts w:asciiTheme="minorHAnsi" w:hAnsiTheme="minorHAnsi" w:cs="Arial"/>
          <w:b/>
          <w:sz w:val="22"/>
          <w:szCs w:val="22"/>
        </w:rPr>
        <w:t xml:space="preserve">– areál Technologického parku </w:t>
      </w:r>
    </w:p>
    <w:p w:rsidR="00B7787C" w:rsidRDefault="00B7787C" w:rsidP="008A42E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374A6A">
        <w:rPr>
          <w:rFonts w:asciiTheme="minorHAnsi" w:hAnsiTheme="minorHAnsi" w:cs="Arial"/>
          <w:sz w:val="20"/>
          <w:szCs w:val="20"/>
        </w:rPr>
        <w:t>Vědecko-technologický park Ostrava</w:t>
      </w:r>
      <w:r w:rsidR="00C41A92">
        <w:rPr>
          <w:rFonts w:asciiTheme="minorHAnsi" w:hAnsiTheme="minorHAnsi" w:cs="Arial"/>
          <w:sz w:val="20"/>
          <w:szCs w:val="20"/>
        </w:rPr>
        <w:t xml:space="preserve"> </w:t>
      </w:r>
      <w:r w:rsidR="00D36C60" w:rsidRPr="00374A6A">
        <w:rPr>
          <w:rFonts w:asciiTheme="minorHAnsi" w:hAnsiTheme="minorHAnsi" w:cs="Arial"/>
          <w:sz w:val="20"/>
          <w:szCs w:val="20"/>
        </w:rPr>
        <w:t xml:space="preserve">o rozloze cca 10 ha v Ostravě - </w:t>
      </w:r>
      <w:proofErr w:type="spellStart"/>
      <w:r w:rsidR="00D36C60" w:rsidRPr="00374A6A">
        <w:rPr>
          <w:rFonts w:asciiTheme="minorHAnsi" w:hAnsiTheme="minorHAnsi" w:cs="Arial"/>
          <w:sz w:val="20"/>
          <w:szCs w:val="20"/>
        </w:rPr>
        <w:t>Pustkovci</w:t>
      </w:r>
      <w:proofErr w:type="spellEnd"/>
      <w:r w:rsidR="00D36C60" w:rsidRPr="00374A6A">
        <w:rPr>
          <w:rFonts w:asciiTheme="minorHAnsi" w:hAnsiTheme="minorHAnsi" w:cs="Arial"/>
          <w:sz w:val="20"/>
          <w:szCs w:val="20"/>
        </w:rPr>
        <w:t xml:space="preserve"> </w:t>
      </w:r>
      <w:r w:rsidR="00C2748B" w:rsidRPr="00374A6A">
        <w:rPr>
          <w:rFonts w:asciiTheme="minorHAnsi" w:hAnsiTheme="minorHAnsi" w:cs="Arial"/>
          <w:sz w:val="20"/>
          <w:szCs w:val="20"/>
        </w:rPr>
        <w:t xml:space="preserve">byl založen v roce </w:t>
      </w:r>
      <w:r w:rsidRPr="00374A6A">
        <w:rPr>
          <w:rFonts w:asciiTheme="minorHAnsi" w:hAnsiTheme="minorHAnsi" w:cs="Arial"/>
          <w:sz w:val="20"/>
          <w:szCs w:val="20"/>
        </w:rPr>
        <w:t xml:space="preserve">1997 </w:t>
      </w:r>
      <w:r w:rsidR="00C2748B" w:rsidRPr="00374A6A">
        <w:rPr>
          <w:rFonts w:asciiTheme="minorHAnsi" w:hAnsiTheme="minorHAnsi" w:cs="Arial"/>
          <w:sz w:val="20"/>
          <w:szCs w:val="20"/>
        </w:rPr>
        <w:t>s cílem vytvořit prostor pro vědecký a technologický výzkum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, inovace a </w:t>
      </w:r>
      <w:proofErr w:type="spellStart"/>
      <w:r w:rsidR="00D17308" w:rsidRPr="00374A6A">
        <w:rPr>
          <w:rFonts w:asciiTheme="minorHAnsi" w:hAnsiTheme="minorHAnsi" w:cs="Arial"/>
          <w:sz w:val="20"/>
          <w:szCs w:val="20"/>
        </w:rPr>
        <w:t>hi</w:t>
      </w:r>
      <w:proofErr w:type="spellEnd"/>
      <w:r w:rsidR="00D17308" w:rsidRPr="00374A6A">
        <w:rPr>
          <w:rFonts w:asciiTheme="minorHAnsi" w:hAnsiTheme="minorHAnsi" w:cs="Arial"/>
          <w:sz w:val="20"/>
          <w:szCs w:val="20"/>
        </w:rPr>
        <w:t>-tech technologie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 s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úzkou </w:t>
      </w:r>
      <w:r w:rsidR="00961806" w:rsidRPr="00374A6A">
        <w:rPr>
          <w:rFonts w:asciiTheme="minorHAnsi" w:hAnsiTheme="minorHAnsi" w:cs="Arial"/>
          <w:sz w:val="20"/>
          <w:szCs w:val="20"/>
        </w:rPr>
        <w:t>v</w:t>
      </w:r>
      <w:r w:rsidR="00D17308" w:rsidRPr="00374A6A">
        <w:rPr>
          <w:rFonts w:asciiTheme="minorHAnsi" w:hAnsiTheme="minorHAnsi" w:cs="Arial"/>
          <w:sz w:val="20"/>
          <w:szCs w:val="20"/>
        </w:rPr>
        <w:t>azb</w:t>
      </w:r>
      <w:r w:rsidR="00961806" w:rsidRPr="00374A6A">
        <w:rPr>
          <w:rFonts w:asciiTheme="minorHAnsi" w:hAnsiTheme="minorHAnsi" w:cs="Arial"/>
          <w:sz w:val="20"/>
          <w:szCs w:val="20"/>
        </w:rPr>
        <w:t>ou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na univerzitní sféru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, kterou 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zajišťuje </w:t>
      </w:r>
      <w:r w:rsidR="00961806" w:rsidRPr="00374A6A">
        <w:rPr>
          <w:rFonts w:asciiTheme="minorHAnsi" w:hAnsiTheme="minorHAnsi" w:cs="Arial"/>
          <w:sz w:val="20"/>
          <w:szCs w:val="20"/>
        </w:rPr>
        <w:t xml:space="preserve">vybraná lokalita v bezprostřední </w:t>
      </w:r>
      <w:r w:rsidR="00D17308" w:rsidRPr="00374A6A">
        <w:rPr>
          <w:rFonts w:asciiTheme="minorHAnsi" w:hAnsiTheme="minorHAnsi" w:cs="Arial"/>
          <w:sz w:val="20"/>
          <w:szCs w:val="20"/>
        </w:rPr>
        <w:t>blízkost</w:t>
      </w:r>
      <w:r w:rsidR="00961806" w:rsidRPr="00374A6A">
        <w:rPr>
          <w:rFonts w:asciiTheme="minorHAnsi" w:hAnsiTheme="minorHAnsi" w:cs="Arial"/>
          <w:sz w:val="20"/>
          <w:szCs w:val="20"/>
        </w:rPr>
        <w:t>i</w:t>
      </w:r>
      <w:r w:rsidR="00D17308" w:rsidRPr="00374A6A">
        <w:rPr>
          <w:rFonts w:asciiTheme="minorHAnsi" w:hAnsiTheme="minorHAnsi" w:cs="Arial"/>
          <w:sz w:val="20"/>
          <w:szCs w:val="20"/>
        </w:rPr>
        <w:t xml:space="preserve"> Vysoké školy báňské</w:t>
      </w:r>
      <w:r w:rsidR="006F03FD">
        <w:rPr>
          <w:rFonts w:asciiTheme="minorHAnsi" w:hAnsiTheme="minorHAnsi" w:cs="Arial"/>
          <w:sz w:val="20"/>
          <w:szCs w:val="20"/>
        </w:rPr>
        <w:t>.</w:t>
      </w:r>
      <w:r w:rsidR="008262CC" w:rsidRPr="00374A6A">
        <w:rPr>
          <w:rFonts w:asciiTheme="minorHAnsi" w:hAnsiTheme="minorHAnsi" w:cs="Arial"/>
          <w:sz w:val="20"/>
          <w:szCs w:val="20"/>
        </w:rPr>
        <w:t xml:space="preserve"> </w:t>
      </w:r>
    </w:p>
    <w:p w:rsidR="0046743A" w:rsidRPr="00374A6A" w:rsidRDefault="0046743A" w:rsidP="008A42ED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46743A">
        <w:rPr>
          <w:rFonts w:asciiTheme="minorHAnsi" w:hAnsiTheme="minorHAnsi" w:cs="Arial"/>
          <w:sz w:val="20"/>
          <w:szCs w:val="20"/>
        </w:rPr>
        <w:t>vědecko-technologický park s téměř 11 000 m</w:t>
      </w:r>
      <w:r w:rsidRPr="0046743A">
        <w:rPr>
          <w:rFonts w:asciiTheme="minorHAnsi" w:hAnsiTheme="minorHAnsi" w:cs="Arial"/>
          <w:sz w:val="20"/>
          <w:szCs w:val="20"/>
          <w:vertAlign w:val="superscript"/>
        </w:rPr>
        <w:t>2</w:t>
      </w:r>
      <w:r w:rsidRPr="0046743A">
        <w:rPr>
          <w:rFonts w:asciiTheme="minorHAnsi" w:hAnsiTheme="minorHAnsi" w:cs="Arial"/>
          <w:sz w:val="20"/>
          <w:szCs w:val="20"/>
        </w:rPr>
        <w:t xml:space="preserve"> kancelářských ploch, laboratoří a dílen je tvořen multifunkčními budovami PIANO (I), TANDEM (II), TRIDENT (III) a VIVA (IV), které tvoří technické a administrativní zázemí areálu a jejichž obsazenost byla k 31. 12. 2019 následující: Piano – 93 %, Tandem – 63 %, </w:t>
      </w:r>
      <w:proofErr w:type="spellStart"/>
      <w:r w:rsidRPr="0046743A">
        <w:rPr>
          <w:rFonts w:asciiTheme="minorHAnsi" w:hAnsiTheme="minorHAnsi" w:cs="Arial"/>
          <w:sz w:val="20"/>
          <w:szCs w:val="20"/>
        </w:rPr>
        <w:t>Viva</w:t>
      </w:r>
      <w:proofErr w:type="spellEnd"/>
      <w:r w:rsidRPr="0046743A">
        <w:rPr>
          <w:rFonts w:asciiTheme="minorHAnsi" w:hAnsiTheme="minorHAnsi" w:cs="Arial"/>
          <w:sz w:val="20"/>
          <w:szCs w:val="20"/>
        </w:rPr>
        <w:t xml:space="preserve"> – 100 % a Trident – 97 %; </w:t>
      </w:r>
      <w:r w:rsidRPr="0046743A">
        <w:rPr>
          <w:rFonts w:asciiTheme="minorHAnsi" w:hAnsiTheme="minorHAnsi" w:cs="Arial"/>
          <w:sz w:val="20"/>
          <w:szCs w:val="20"/>
        </w:rPr>
        <w:br/>
        <w:t xml:space="preserve">ke stejnému datu bylo v budovách zasídleno 73 firem s 913 zaměstnanci. Dalších 227 pracovních míst bylo vytvořeno v komerčních objektech společností Ingeteam a. s., ELCOM, a. s. a VAE </w:t>
      </w:r>
      <w:proofErr w:type="spellStart"/>
      <w:r w:rsidRPr="0046743A">
        <w:rPr>
          <w:rFonts w:asciiTheme="minorHAnsi" w:hAnsiTheme="minorHAnsi" w:cs="Arial"/>
          <w:sz w:val="20"/>
          <w:szCs w:val="20"/>
        </w:rPr>
        <w:t>Prosys</w:t>
      </w:r>
      <w:proofErr w:type="spellEnd"/>
      <w:r w:rsidRPr="0046743A">
        <w:rPr>
          <w:rFonts w:asciiTheme="minorHAnsi" w:hAnsiTheme="minorHAnsi" w:cs="Arial"/>
          <w:sz w:val="20"/>
          <w:szCs w:val="20"/>
        </w:rPr>
        <w:t xml:space="preserve"> s. r. o., situovaných v areálu VT parku</w:t>
      </w:r>
      <w:r w:rsidR="006230ED">
        <w:rPr>
          <w:rFonts w:asciiTheme="minorHAnsi" w:hAnsiTheme="minorHAnsi" w:cs="Arial"/>
          <w:sz w:val="20"/>
          <w:szCs w:val="20"/>
        </w:rPr>
        <w:t>.</w:t>
      </w:r>
    </w:p>
    <w:p w:rsidR="0046743A" w:rsidRDefault="00C90EBA" w:rsidP="00AD3D4E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46743A">
        <w:rPr>
          <w:rFonts w:asciiTheme="minorHAnsi" w:hAnsiTheme="minorHAnsi" w:cs="Arial"/>
          <w:sz w:val="20"/>
          <w:szCs w:val="20"/>
        </w:rPr>
        <w:t>od 07/2017 působí v lokalitě společnost Moravskoslezské inovační centrum Ostrava, a. s. (dále jen MSIC)</w:t>
      </w:r>
      <w:r w:rsidR="0080003C" w:rsidRPr="0046743A">
        <w:rPr>
          <w:rFonts w:asciiTheme="minorHAnsi" w:hAnsiTheme="minorHAnsi" w:cs="Arial"/>
          <w:sz w:val="20"/>
          <w:szCs w:val="20"/>
        </w:rPr>
        <w:t xml:space="preserve"> </w:t>
      </w:r>
      <w:r w:rsidRPr="0046743A">
        <w:rPr>
          <w:rFonts w:asciiTheme="minorHAnsi" w:hAnsiTheme="minorHAnsi" w:cs="Arial"/>
          <w:sz w:val="20"/>
          <w:szCs w:val="20"/>
        </w:rPr>
        <w:t xml:space="preserve">transformovaná z původního Vědeckotechnologického parku </w:t>
      </w:r>
      <w:r w:rsidR="001C5F92" w:rsidRPr="0046743A">
        <w:rPr>
          <w:rFonts w:asciiTheme="minorHAnsi" w:hAnsiTheme="minorHAnsi" w:cs="Arial"/>
          <w:sz w:val="20"/>
          <w:szCs w:val="20"/>
        </w:rPr>
        <w:t xml:space="preserve">Ostrava, a. s., jejímž </w:t>
      </w:r>
      <w:r w:rsidR="0046743A">
        <w:rPr>
          <w:rFonts w:asciiTheme="minorHAnsi" w:hAnsiTheme="minorHAnsi" w:cs="Arial"/>
          <w:sz w:val="20"/>
          <w:szCs w:val="20"/>
        </w:rPr>
        <w:t xml:space="preserve">posláním je rozvoj inovačního ekosystému spočívající v poskytování služeb, které buď nabízeny nejsou nebo nejsou nabízeny v dostatečné kvalitě, dosažitelné ceně či za jinak relevantních podmínek. Tyto činnosti vykonává MSIC v tzv. režimu závazku veřejné služby a ze strany hlavních akcionářů je mu poskytována vyrovnávací platba. Podrobný popis činnosti MSIC za sledované období je samostatnou přílohou materiálu. </w:t>
      </w:r>
      <w:r w:rsidR="001C5F92" w:rsidRPr="0046743A">
        <w:rPr>
          <w:rFonts w:asciiTheme="minorHAnsi" w:hAnsiTheme="minorHAnsi" w:cs="Arial"/>
          <w:sz w:val="20"/>
          <w:szCs w:val="20"/>
        </w:rPr>
        <w:t xml:space="preserve"> </w:t>
      </w:r>
    </w:p>
    <w:p w:rsidR="00D00EC5" w:rsidRDefault="00D00EC5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 ohledem na rostoucí vývoj poptávky po pronájmu prostor v technologickém parku se hlavní akcionáři MSIC, tj. statutární město Ostrava a Moravskoslezský kraj, dohodli na postupném rozšíření a modernizaci kapacit technologického parku a posílení role MSIC ve vztahu k fyzické infrastruktuře parku s tím, že multifunkční budovy PIANO a TANDEM ve vlastnictví města, na které se již nevztahují podmínky dotace, budou vloženy do majetku společnosti MSIC. Dorovnání vlastnických podílů by mělo být zajištěno navýšením kapitálu MSIC ze strany kraje. </w:t>
      </w:r>
    </w:p>
    <w:p w:rsidR="00293E2B" w:rsidRDefault="00A825B3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paralelně s modernizací budov PIANO a TANDEM bude připravována výstavba V. budovy technologického parku</w:t>
      </w:r>
      <w:r w:rsidR="009A2023">
        <w:rPr>
          <w:rFonts w:asciiTheme="minorHAnsi" w:hAnsiTheme="minorHAnsi" w:cs="Arial"/>
          <w:sz w:val="20"/>
          <w:szCs w:val="20"/>
        </w:rPr>
        <w:t xml:space="preserve">; v navržené budově bude realizován průmyslový výzkum a vývoj, demonstrovány nové speciální technologie, lehká </w:t>
      </w:r>
      <w:r w:rsidR="00AD6FE2">
        <w:rPr>
          <w:rFonts w:asciiTheme="minorHAnsi" w:hAnsiTheme="minorHAnsi" w:cs="Arial"/>
          <w:sz w:val="20"/>
          <w:szCs w:val="20"/>
        </w:rPr>
        <w:t xml:space="preserve">prototypová </w:t>
      </w:r>
      <w:r w:rsidR="009A2023">
        <w:rPr>
          <w:rFonts w:asciiTheme="minorHAnsi" w:hAnsiTheme="minorHAnsi" w:cs="Arial"/>
          <w:sz w:val="20"/>
          <w:szCs w:val="20"/>
        </w:rPr>
        <w:t>výroba, budou zde umístěny kancelářské prostory a bude místem konání specializovaných odborných akcí</w:t>
      </w:r>
      <w:r>
        <w:rPr>
          <w:rFonts w:asciiTheme="minorHAnsi" w:hAnsiTheme="minorHAnsi" w:cs="Arial"/>
          <w:sz w:val="20"/>
          <w:szCs w:val="20"/>
        </w:rPr>
        <w:t xml:space="preserve">; </w:t>
      </w:r>
      <w:r w:rsidR="00474B8D">
        <w:rPr>
          <w:rFonts w:asciiTheme="minorHAnsi" w:hAnsiTheme="minorHAnsi" w:cs="Arial"/>
          <w:sz w:val="20"/>
          <w:szCs w:val="20"/>
        </w:rPr>
        <w:t>financování výstavby nové budovy předpokládá získání dotace z externích zdrojů</w:t>
      </w:r>
      <w:r>
        <w:rPr>
          <w:rFonts w:asciiTheme="minorHAnsi" w:hAnsiTheme="minorHAnsi" w:cs="Arial"/>
          <w:sz w:val="20"/>
          <w:szCs w:val="20"/>
        </w:rPr>
        <w:t>.</w:t>
      </w:r>
    </w:p>
    <w:p w:rsidR="00350045" w:rsidRPr="00374A6A" w:rsidRDefault="00350045" w:rsidP="008859E4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ve sledovaném období rovněž probíhal</w:t>
      </w:r>
      <w:r w:rsidR="00205BFE">
        <w:rPr>
          <w:rFonts w:asciiTheme="minorHAnsi" w:hAnsiTheme="minorHAnsi" w:cs="Arial"/>
          <w:sz w:val="20"/>
          <w:szCs w:val="20"/>
        </w:rPr>
        <w:t>a</w:t>
      </w:r>
      <w:r>
        <w:rPr>
          <w:rFonts w:asciiTheme="minorHAnsi" w:hAnsiTheme="minorHAnsi" w:cs="Arial"/>
          <w:sz w:val="20"/>
          <w:szCs w:val="20"/>
        </w:rPr>
        <w:t xml:space="preserve"> jednání se zástupci poskytovatele dotace, tj. Ministerstva průmyslu a obchodu</w:t>
      </w:r>
      <w:r w:rsidR="00205BFE">
        <w:rPr>
          <w:rFonts w:asciiTheme="minorHAnsi" w:hAnsiTheme="minorHAnsi" w:cs="Arial"/>
          <w:sz w:val="20"/>
          <w:szCs w:val="20"/>
        </w:rPr>
        <w:t xml:space="preserve">, s cílem ověření dotačních podmínek na budovy TRIDENT a VIVA v souvislosti s umístěním nového </w:t>
      </w:r>
      <w:proofErr w:type="gramStart"/>
      <w:r w:rsidR="00205BFE">
        <w:rPr>
          <w:rFonts w:asciiTheme="minorHAnsi" w:hAnsiTheme="minorHAnsi" w:cs="Arial"/>
          <w:sz w:val="20"/>
          <w:szCs w:val="20"/>
        </w:rPr>
        <w:t>klienta -společnosti</w:t>
      </w:r>
      <w:proofErr w:type="gramEnd"/>
      <w:r w:rsidR="00472059">
        <w:rPr>
          <w:rFonts w:asciiTheme="minorHAnsi" w:hAnsiTheme="minorHAnsi" w:cs="Arial"/>
          <w:sz w:val="20"/>
          <w:szCs w:val="20"/>
        </w:rPr>
        <w:t xml:space="preserve"> </w:t>
      </w:r>
      <w:r w:rsidR="00205BFE">
        <w:rPr>
          <w:rFonts w:asciiTheme="minorHAnsi" w:hAnsiTheme="minorHAnsi" w:cs="Arial"/>
          <w:sz w:val="20"/>
          <w:szCs w:val="20"/>
        </w:rPr>
        <w:t>Porsche</w:t>
      </w:r>
      <w:r w:rsidR="00C207F5">
        <w:rPr>
          <w:rFonts w:asciiTheme="minorHAnsi" w:hAnsiTheme="minorHAnsi" w:cs="Arial"/>
          <w:sz w:val="20"/>
          <w:szCs w:val="20"/>
        </w:rPr>
        <w:t xml:space="preserve">, která </w:t>
      </w:r>
      <w:r w:rsidR="00F12783">
        <w:rPr>
          <w:rFonts w:asciiTheme="minorHAnsi" w:hAnsiTheme="minorHAnsi" w:cs="Arial"/>
          <w:sz w:val="20"/>
          <w:szCs w:val="20"/>
        </w:rPr>
        <w:t>jako velká inovativní firma se silným ekonomickým potenciálem může vzájemnou spoluprací posílit úroveň zasídlených startupů</w:t>
      </w:r>
      <w:r w:rsidR="00C207F5">
        <w:rPr>
          <w:rFonts w:asciiTheme="minorHAnsi" w:hAnsiTheme="minorHAnsi" w:cs="Arial"/>
          <w:sz w:val="20"/>
          <w:szCs w:val="20"/>
        </w:rPr>
        <w:t xml:space="preserve">. Rovněž byla řešena otázka délky udržitelnosti projektu </w:t>
      </w:r>
      <w:r w:rsidR="00530E80">
        <w:rPr>
          <w:rFonts w:asciiTheme="minorHAnsi" w:hAnsiTheme="minorHAnsi" w:cs="Arial"/>
          <w:sz w:val="20"/>
          <w:szCs w:val="20"/>
        </w:rPr>
        <w:t xml:space="preserve">ve vztahu </w:t>
      </w:r>
      <w:r w:rsidR="001D130E">
        <w:rPr>
          <w:rFonts w:asciiTheme="minorHAnsi" w:hAnsiTheme="minorHAnsi" w:cs="Arial"/>
          <w:sz w:val="20"/>
          <w:szCs w:val="20"/>
        </w:rPr>
        <w:br/>
      </w:r>
      <w:r w:rsidR="00530E80">
        <w:rPr>
          <w:rFonts w:asciiTheme="minorHAnsi" w:hAnsiTheme="minorHAnsi" w:cs="Arial"/>
          <w:sz w:val="20"/>
          <w:szCs w:val="20"/>
        </w:rPr>
        <w:t xml:space="preserve">ke lhůtě závěrečného vyúčtování (vyrovnání poskytnuté veřejné podpory koncovým příjemcům) dle metodiky MMR a způsob výpočtu předpokládané vratky. </w:t>
      </w:r>
      <w:r w:rsidR="001D130E">
        <w:rPr>
          <w:rFonts w:asciiTheme="minorHAnsi" w:hAnsiTheme="minorHAnsi" w:cs="Arial"/>
          <w:sz w:val="20"/>
          <w:szCs w:val="20"/>
        </w:rPr>
        <w:t xml:space="preserve">Dle </w:t>
      </w:r>
      <w:r w:rsidR="00782BD4">
        <w:rPr>
          <w:rFonts w:asciiTheme="minorHAnsi" w:hAnsiTheme="minorHAnsi" w:cs="Arial"/>
          <w:sz w:val="20"/>
          <w:szCs w:val="20"/>
        </w:rPr>
        <w:t xml:space="preserve">písemného </w:t>
      </w:r>
      <w:r w:rsidR="001D130E">
        <w:rPr>
          <w:rFonts w:asciiTheme="minorHAnsi" w:hAnsiTheme="minorHAnsi" w:cs="Arial"/>
          <w:sz w:val="20"/>
          <w:szCs w:val="20"/>
        </w:rPr>
        <w:t xml:space="preserve">sdělení poskytovatele dotace </w:t>
      </w:r>
      <w:r w:rsidR="00BA44F0">
        <w:rPr>
          <w:rFonts w:asciiTheme="minorHAnsi" w:hAnsiTheme="minorHAnsi" w:cs="Arial"/>
          <w:sz w:val="20"/>
          <w:szCs w:val="20"/>
        </w:rPr>
        <w:t xml:space="preserve">je </w:t>
      </w:r>
      <w:r w:rsidR="001D130E">
        <w:rPr>
          <w:rFonts w:asciiTheme="minorHAnsi" w:hAnsiTheme="minorHAnsi" w:cs="Arial"/>
          <w:sz w:val="20"/>
          <w:szCs w:val="20"/>
        </w:rPr>
        <w:t xml:space="preserve">možné umisťovat do MFB III a IV společnosti typu Porsche, které přispějí k rozvoji znalostního a technologického transferu. </w:t>
      </w:r>
      <w:r w:rsidR="001B051A">
        <w:rPr>
          <w:rFonts w:asciiTheme="minorHAnsi" w:hAnsiTheme="minorHAnsi" w:cs="Arial"/>
          <w:sz w:val="20"/>
          <w:szCs w:val="20"/>
        </w:rPr>
        <w:t xml:space="preserve">Finanční vypořádání projektu se provádí po skončení doby udržitelnosti, tj. k 31. 12. 2025. </w:t>
      </w:r>
    </w:p>
    <w:p w:rsidR="00123C84" w:rsidRPr="002B38B9" w:rsidRDefault="00D90B4C" w:rsidP="00D90B4C">
      <w:pPr>
        <w:pStyle w:val="Zkladntext"/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průběhu II. pololetí r. 2019 pokračovala výstavba administrativní budovy</w:t>
      </w:r>
      <w:r w:rsidR="002B38B9" w:rsidRPr="002B38B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s testovací halou </w:t>
      </w:r>
      <w:r w:rsidR="002B38B9" w:rsidRPr="002B38B9">
        <w:rPr>
          <w:rFonts w:asciiTheme="minorHAnsi" w:hAnsiTheme="minorHAnsi" w:cs="Arial"/>
          <w:sz w:val="20"/>
          <w:szCs w:val="20"/>
        </w:rPr>
        <w:t>společnost</w:t>
      </w:r>
      <w:r>
        <w:rPr>
          <w:rFonts w:asciiTheme="minorHAnsi" w:hAnsiTheme="minorHAnsi" w:cs="Arial"/>
          <w:sz w:val="20"/>
          <w:szCs w:val="20"/>
        </w:rPr>
        <w:t>i</w:t>
      </w:r>
      <w:r w:rsidR="002B38B9" w:rsidRPr="002B38B9">
        <w:rPr>
          <w:rFonts w:asciiTheme="minorHAnsi" w:hAnsiTheme="minorHAnsi" w:cs="Arial"/>
          <w:sz w:val="20"/>
          <w:szCs w:val="20"/>
        </w:rPr>
        <w:t xml:space="preserve"> </w:t>
      </w:r>
      <w:r w:rsidR="00FA71FE" w:rsidRPr="002B38B9">
        <w:rPr>
          <w:rFonts w:asciiTheme="minorHAnsi" w:hAnsiTheme="minorHAnsi" w:cs="Arial"/>
          <w:sz w:val="20"/>
          <w:szCs w:val="20"/>
        </w:rPr>
        <w:t>Elektro MAR</w:t>
      </w:r>
      <w:r w:rsidR="00703795" w:rsidRPr="002B38B9">
        <w:rPr>
          <w:rFonts w:asciiTheme="minorHAnsi" w:hAnsiTheme="minorHAnsi" w:cs="Arial"/>
          <w:sz w:val="20"/>
          <w:szCs w:val="20"/>
        </w:rPr>
        <w:t xml:space="preserve"> a. s.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127E6F" w:rsidRPr="002B38B9">
        <w:rPr>
          <w:rFonts w:asciiTheme="minorHAnsi" w:hAnsiTheme="minorHAnsi" w:cs="Arial"/>
          <w:sz w:val="20"/>
          <w:szCs w:val="20"/>
        </w:rPr>
        <w:t>zaměřen</w:t>
      </w:r>
      <w:r>
        <w:rPr>
          <w:rFonts w:asciiTheme="minorHAnsi" w:hAnsiTheme="minorHAnsi" w:cs="Arial"/>
          <w:sz w:val="20"/>
          <w:szCs w:val="20"/>
        </w:rPr>
        <w:t>é</w:t>
      </w:r>
      <w:r w:rsidR="000F2D71" w:rsidRPr="002B38B9">
        <w:rPr>
          <w:rFonts w:asciiTheme="minorHAnsi" w:hAnsiTheme="minorHAnsi" w:cs="Arial"/>
          <w:sz w:val="20"/>
          <w:szCs w:val="20"/>
        </w:rPr>
        <w:t xml:space="preserve"> </w:t>
      </w:r>
      <w:r w:rsidR="00127E6F" w:rsidRPr="002B38B9">
        <w:rPr>
          <w:rFonts w:asciiTheme="minorHAnsi" w:hAnsiTheme="minorHAnsi" w:cs="Arial"/>
          <w:sz w:val="20"/>
          <w:szCs w:val="20"/>
        </w:rPr>
        <w:t>na</w:t>
      </w:r>
      <w:r w:rsidR="00872801" w:rsidRPr="002B38B9">
        <w:rPr>
          <w:rFonts w:asciiTheme="minorHAnsi" w:hAnsiTheme="minorHAnsi" w:cs="Arial"/>
          <w:sz w:val="20"/>
          <w:szCs w:val="20"/>
        </w:rPr>
        <w:t xml:space="preserve"> </w:t>
      </w:r>
      <w:r w:rsidR="000F2D71" w:rsidRPr="002B38B9">
        <w:rPr>
          <w:rFonts w:asciiTheme="minorHAnsi" w:hAnsiTheme="minorHAnsi" w:cs="Arial"/>
          <w:sz w:val="20"/>
          <w:szCs w:val="20"/>
        </w:rPr>
        <w:t>průmyslové služby a výzkum a vývoj v oblasti energetiky a implementaci výzkumu v energetickém průmyslu</w:t>
      </w:r>
      <w:r>
        <w:rPr>
          <w:rFonts w:asciiTheme="minorHAnsi" w:hAnsiTheme="minorHAnsi" w:cs="Arial"/>
          <w:sz w:val="20"/>
          <w:szCs w:val="20"/>
        </w:rPr>
        <w:t>, v areálu technologického parku</w:t>
      </w:r>
      <w:r w:rsidR="00127E6F" w:rsidRPr="002B38B9">
        <w:rPr>
          <w:rFonts w:asciiTheme="minorHAnsi" w:hAnsiTheme="minorHAnsi" w:cs="Arial"/>
          <w:sz w:val="20"/>
          <w:szCs w:val="20"/>
        </w:rPr>
        <w:t>.</w:t>
      </w:r>
      <w:r w:rsidR="00703795" w:rsidRPr="002B38B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Nové sídlo společnosti je ve fázi dokončené hrubé stavby, výstavba je plánována do konce roku 2020. Společnost rozvíjí spolupráci s Technickou univerzitou Ostrava v oblasti strojového vidění a spektrální analýzy, podala společnou žádost o dotaci pro výzkum v oblasti povrchové defektoskopie kovů v programu Aplikace. Vzhledem k dynamickému růstu investor požádal o další navazující pozemky k rozšíření areálu o rozloze 0,34 ha. Převod pozemků byl schválen zastupitelstvem města v 11/2019. </w:t>
      </w:r>
    </w:p>
    <w:p w:rsidR="0017019E" w:rsidRDefault="0017019E" w:rsidP="0071489C">
      <w:pPr>
        <w:pStyle w:val="Zkladntext"/>
        <w:ind w:left="-74"/>
        <w:rPr>
          <w:rFonts w:asciiTheme="minorHAnsi" w:hAnsiTheme="minorHAnsi" w:cs="Arial"/>
          <w:b/>
          <w:sz w:val="22"/>
          <w:szCs w:val="22"/>
        </w:rPr>
      </w:pPr>
    </w:p>
    <w:p w:rsidR="004054F0" w:rsidRDefault="004054F0" w:rsidP="00D6729E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4054F0" w:rsidRDefault="004054F0" w:rsidP="00D6729E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5CD" w:rsidRDefault="001615CD" w:rsidP="00E107BC">
      <w:pPr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5CD" w:rsidSect="00345E13">
      <w:footerReference w:type="even" r:id="rId8"/>
      <w:footerReference w:type="default" r:id="rId9"/>
      <w:pgSz w:w="11906" w:h="16838"/>
      <w:pgMar w:top="1134" w:right="1134" w:bottom="1134" w:left="1134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9D" w:rsidRDefault="00D90A9D">
      <w:r>
        <w:separator/>
      </w:r>
    </w:p>
  </w:endnote>
  <w:endnote w:type="continuationSeparator" w:id="0">
    <w:p w:rsidR="00D90A9D" w:rsidRDefault="00D9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A9D" w:rsidRDefault="00D90A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0A9D" w:rsidRDefault="00D90A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101621"/>
      <w:docPartObj>
        <w:docPartGallery w:val="Page Numbers (Bottom of Page)"/>
        <w:docPartUnique/>
      </w:docPartObj>
    </w:sdtPr>
    <w:sdtEndPr/>
    <w:sdtContent>
      <w:p w:rsidR="00D90A9D" w:rsidRDefault="00D90A9D">
        <w:pPr>
          <w:pStyle w:val="Zpat"/>
          <w:jc w:val="right"/>
        </w:pPr>
        <w:r w:rsidRPr="00207613">
          <w:rPr>
            <w:sz w:val="20"/>
            <w:szCs w:val="20"/>
          </w:rPr>
          <w:fldChar w:fldCharType="begin"/>
        </w:r>
        <w:r w:rsidRPr="00207613">
          <w:rPr>
            <w:sz w:val="20"/>
            <w:szCs w:val="20"/>
          </w:rPr>
          <w:instrText>PAGE   \* MERGEFORMAT</w:instrText>
        </w:r>
        <w:r w:rsidRPr="0020761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207613">
          <w:rPr>
            <w:sz w:val="20"/>
            <w:szCs w:val="20"/>
          </w:rPr>
          <w:fldChar w:fldCharType="end"/>
        </w:r>
      </w:p>
    </w:sdtContent>
  </w:sdt>
  <w:p w:rsidR="00D90A9D" w:rsidRDefault="00D90A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9D" w:rsidRDefault="00D90A9D">
      <w:r>
        <w:separator/>
      </w:r>
    </w:p>
  </w:footnote>
  <w:footnote w:type="continuationSeparator" w:id="0">
    <w:p w:rsidR="00D90A9D" w:rsidRDefault="00D9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65A"/>
    <w:multiLevelType w:val="hybridMultilevel"/>
    <w:tmpl w:val="E2BCD144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EF4"/>
    <w:multiLevelType w:val="hybridMultilevel"/>
    <w:tmpl w:val="F146AC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2F66"/>
    <w:multiLevelType w:val="hybridMultilevel"/>
    <w:tmpl w:val="CDD86D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554"/>
    <w:multiLevelType w:val="hybridMultilevel"/>
    <w:tmpl w:val="C67C0BC6"/>
    <w:lvl w:ilvl="0" w:tplc="EAF2F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EDA"/>
    <w:multiLevelType w:val="hybridMultilevel"/>
    <w:tmpl w:val="0FE64BC4"/>
    <w:lvl w:ilvl="0" w:tplc="1CDCA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C4059F"/>
    <w:multiLevelType w:val="hybridMultilevel"/>
    <w:tmpl w:val="AA2A7B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295"/>
    <w:multiLevelType w:val="hybridMultilevel"/>
    <w:tmpl w:val="0E6ED38A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11F75"/>
    <w:multiLevelType w:val="hybridMultilevel"/>
    <w:tmpl w:val="19CE51C8"/>
    <w:lvl w:ilvl="0" w:tplc="BE3ECA9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423549"/>
    <w:multiLevelType w:val="hybridMultilevel"/>
    <w:tmpl w:val="041AC98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5A233B"/>
    <w:multiLevelType w:val="hybridMultilevel"/>
    <w:tmpl w:val="796ED916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21AAD"/>
    <w:multiLevelType w:val="hybridMultilevel"/>
    <w:tmpl w:val="FC20DC9E"/>
    <w:lvl w:ilvl="0" w:tplc="7264D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910"/>
    <w:multiLevelType w:val="hybridMultilevel"/>
    <w:tmpl w:val="E1C2728C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94785"/>
    <w:multiLevelType w:val="hybridMultilevel"/>
    <w:tmpl w:val="EB4080E6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0E7370"/>
    <w:multiLevelType w:val="hybridMultilevel"/>
    <w:tmpl w:val="A6467588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060AE"/>
    <w:multiLevelType w:val="hybridMultilevel"/>
    <w:tmpl w:val="8C04F16E"/>
    <w:lvl w:ilvl="0" w:tplc="51B87B3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AD1816"/>
    <w:multiLevelType w:val="hybridMultilevel"/>
    <w:tmpl w:val="82102E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F23512"/>
    <w:multiLevelType w:val="hybridMultilevel"/>
    <w:tmpl w:val="87ECD9CC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D752D"/>
    <w:multiLevelType w:val="hybridMultilevel"/>
    <w:tmpl w:val="2362D06C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85A32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D5BF2"/>
    <w:multiLevelType w:val="hybridMultilevel"/>
    <w:tmpl w:val="57802352"/>
    <w:lvl w:ilvl="0" w:tplc="4D508A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37B"/>
    <w:multiLevelType w:val="hybridMultilevel"/>
    <w:tmpl w:val="434661AE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1369A"/>
    <w:multiLevelType w:val="hybridMultilevel"/>
    <w:tmpl w:val="E9727C04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3B1C3B"/>
    <w:multiLevelType w:val="hybridMultilevel"/>
    <w:tmpl w:val="999C9E5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1C303A"/>
    <w:multiLevelType w:val="hybridMultilevel"/>
    <w:tmpl w:val="25F47DFA"/>
    <w:lvl w:ilvl="0" w:tplc="2FE23C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135A9E"/>
    <w:multiLevelType w:val="hybridMultilevel"/>
    <w:tmpl w:val="F5EE7498"/>
    <w:lvl w:ilvl="0" w:tplc="5EAC4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4BB6"/>
    <w:multiLevelType w:val="hybridMultilevel"/>
    <w:tmpl w:val="8066718A"/>
    <w:lvl w:ilvl="0" w:tplc="7264DEF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4F2F6B"/>
    <w:multiLevelType w:val="hybridMultilevel"/>
    <w:tmpl w:val="C504E1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F3FC2"/>
    <w:multiLevelType w:val="hybridMultilevel"/>
    <w:tmpl w:val="6DE8C0BC"/>
    <w:lvl w:ilvl="0" w:tplc="4D508A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264DEF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C026C"/>
    <w:multiLevelType w:val="hybridMultilevel"/>
    <w:tmpl w:val="1070E1DE"/>
    <w:lvl w:ilvl="0" w:tplc="51B87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4699"/>
    <w:multiLevelType w:val="hybridMultilevel"/>
    <w:tmpl w:val="50041B78"/>
    <w:lvl w:ilvl="0" w:tplc="51B87B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F6835"/>
    <w:multiLevelType w:val="hybridMultilevel"/>
    <w:tmpl w:val="6BFC046E"/>
    <w:lvl w:ilvl="0" w:tplc="51B87B3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0"/>
  </w:num>
  <w:num w:numId="5">
    <w:abstractNumId w:val="2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</w:num>
  <w:num w:numId="13">
    <w:abstractNumId w:val="2"/>
  </w:num>
  <w:num w:numId="14">
    <w:abstractNumId w:val="9"/>
  </w:num>
  <w:num w:numId="15">
    <w:abstractNumId w:val="23"/>
  </w:num>
  <w:num w:numId="16">
    <w:abstractNumId w:val="12"/>
  </w:num>
  <w:num w:numId="17">
    <w:abstractNumId w:val="11"/>
  </w:num>
  <w:num w:numId="18">
    <w:abstractNumId w:val="28"/>
  </w:num>
  <w:num w:numId="19">
    <w:abstractNumId w:val="16"/>
  </w:num>
  <w:num w:numId="20">
    <w:abstractNumId w:val="20"/>
  </w:num>
  <w:num w:numId="21">
    <w:abstractNumId w:val="7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8"/>
  </w:num>
  <w:num w:numId="27">
    <w:abstractNumId w:val="25"/>
  </w:num>
  <w:num w:numId="28">
    <w:abstractNumId w:val="1"/>
  </w:num>
  <w:num w:numId="29">
    <w:abstractNumId w:val="3"/>
  </w:num>
  <w:num w:numId="30">
    <w:abstractNumId w:val="14"/>
  </w:num>
  <w:num w:numId="31">
    <w:abstractNumId w:val="15"/>
  </w:num>
  <w:num w:numId="32">
    <w:abstractNumId w:val="19"/>
  </w:num>
  <w:num w:numId="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0E"/>
    <w:rsid w:val="0000112B"/>
    <w:rsid w:val="000017CA"/>
    <w:rsid w:val="00003524"/>
    <w:rsid w:val="00003741"/>
    <w:rsid w:val="0000379C"/>
    <w:rsid w:val="0000470C"/>
    <w:rsid w:val="00004DAF"/>
    <w:rsid w:val="00006AC6"/>
    <w:rsid w:val="00006EB7"/>
    <w:rsid w:val="00007252"/>
    <w:rsid w:val="0000785B"/>
    <w:rsid w:val="00007D38"/>
    <w:rsid w:val="00010049"/>
    <w:rsid w:val="00011114"/>
    <w:rsid w:val="000122DF"/>
    <w:rsid w:val="000129AC"/>
    <w:rsid w:val="000171BF"/>
    <w:rsid w:val="000177A2"/>
    <w:rsid w:val="00022566"/>
    <w:rsid w:val="00022B43"/>
    <w:rsid w:val="000239B1"/>
    <w:rsid w:val="00026396"/>
    <w:rsid w:val="0003022B"/>
    <w:rsid w:val="00031C6D"/>
    <w:rsid w:val="0003202E"/>
    <w:rsid w:val="000320C0"/>
    <w:rsid w:val="00034187"/>
    <w:rsid w:val="00034349"/>
    <w:rsid w:val="00036ABE"/>
    <w:rsid w:val="0004189D"/>
    <w:rsid w:val="00041AE8"/>
    <w:rsid w:val="00044AA8"/>
    <w:rsid w:val="00046894"/>
    <w:rsid w:val="00051084"/>
    <w:rsid w:val="000514CA"/>
    <w:rsid w:val="00052A6D"/>
    <w:rsid w:val="000542E7"/>
    <w:rsid w:val="00054ADE"/>
    <w:rsid w:val="00055BDB"/>
    <w:rsid w:val="00057C02"/>
    <w:rsid w:val="0006161E"/>
    <w:rsid w:val="0006253B"/>
    <w:rsid w:val="00064113"/>
    <w:rsid w:val="000644D3"/>
    <w:rsid w:val="00064CBB"/>
    <w:rsid w:val="000651CD"/>
    <w:rsid w:val="000664D5"/>
    <w:rsid w:val="00066BDA"/>
    <w:rsid w:val="00066F3F"/>
    <w:rsid w:val="00067B7D"/>
    <w:rsid w:val="00074263"/>
    <w:rsid w:val="0007525A"/>
    <w:rsid w:val="000759AE"/>
    <w:rsid w:val="0007605E"/>
    <w:rsid w:val="0007701F"/>
    <w:rsid w:val="00077392"/>
    <w:rsid w:val="00077B0A"/>
    <w:rsid w:val="00077EA9"/>
    <w:rsid w:val="0008091C"/>
    <w:rsid w:val="00080B66"/>
    <w:rsid w:val="000818EF"/>
    <w:rsid w:val="000826A2"/>
    <w:rsid w:val="00086454"/>
    <w:rsid w:val="0008666F"/>
    <w:rsid w:val="00086D00"/>
    <w:rsid w:val="000871BC"/>
    <w:rsid w:val="000876FB"/>
    <w:rsid w:val="00090E6E"/>
    <w:rsid w:val="000917A9"/>
    <w:rsid w:val="0009187F"/>
    <w:rsid w:val="000939F0"/>
    <w:rsid w:val="00094ADC"/>
    <w:rsid w:val="00094B08"/>
    <w:rsid w:val="000957C0"/>
    <w:rsid w:val="00095834"/>
    <w:rsid w:val="00095ABF"/>
    <w:rsid w:val="000963A0"/>
    <w:rsid w:val="00097149"/>
    <w:rsid w:val="000978C0"/>
    <w:rsid w:val="000A04C8"/>
    <w:rsid w:val="000A04D4"/>
    <w:rsid w:val="000A4C9F"/>
    <w:rsid w:val="000A5289"/>
    <w:rsid w:val="000A53F7"/>
    <w:rsid w:val="000A55EC"/>
    <w:rsid w:val="000A5C7B"/>
    <w:rsid w:val="000A5FD9"/>
    <w:rsid w:val="000A65E9"/>
    <w:rsid w:val="000A7B43"/>
    <w:rsid w:val="000A7F1B"/>
    <w:rsid w:val="000A7F78"/>
    <w:rsid w:val="000B062F"/>
    <w:rsid w:val="000B34EA"/>
    <w:rsid w:val="000B3FA8"/>
    <w:rsid w:val="000B5DA1"/>
    <w:rsid w:val="000B6845"/>
    <w:rsid w:val="000B75D4"/>
    <w:rsid w:val="000B787C"/>
    <w:rsid w:val="000C0BC3"/>
    <w:rsid w:val="000C11DB"/>
    <w:rsid w:val="000C20D6"/>
    <w:rsid w:val="000C2737"/>
    <w:rsid w:val="000C37D9"/>
    <w:rsid w:val="000C5B0C"/>
    <w:rsid w:val="000C6121"/>
    <w:rsid w:val="000C66AE"/>
    <w:rsid w:val="000C7883"/>
    <w:rsid w:val="000C7A0A"/>
    <w:rsid w:val="000D0518"/>
    <w:rsid w:val="000D1C2E"/>
    <w:rsid w:val="000D1C76"/>
    <w:rsid w:val="000D21F2"/>
    <w:rsid w:val="000D2F04"/>
    <w:rsid w:val="000D51FC"/>
    <w:rsid w:val="000D54DD"/>
    <w:rsid w:val="000D596F"/>
    <w:rsid w:val="000D5A57"/>
    <w:rsid w:val="000D5E55"/>
    <w:rsid w:val="000D63DD"/>
    <w:rsid w:val="000D74BC"/>
    <w:rsid w:val="000E12BA"/>
    <w:rsid w:val="000E2EE3"/>
    <w:rsid w:val="000E2FAA"/>
    <w:rsid w:val="000E4BD7"/>
    <w:rsid w:val="000E527E"/>
    <w:rsid w:val="000E7185"/>
    <w:rsid w:val="000E7C3D"/>
    <w:rsid w:val="000F0CB0"/>
    <w:rsid w:val="000F119F"/>
    <w:rsid w:val="000F13F2"/>
    <w:rsid w:val="000F15F7"/>
    <w:rsid w:val="000F1D4A"/>
    <w:rsid w:val="000F22DF"/>
    <w:rsid w:val="000F2835"/>
    <w:rsid w:val="000F2A8B"/>
    <w:rsid w:val="000F2D71"/>
    <w:rsid w:val="000F2E87"/>
    <w:rsid w:val="000F59D1"/>
    <w:rsid w:val="000F5E5D"/>
    <w:rsid w:val="0010013A"/>
    <w:rsid w:val="00100547"/>
    <w:rsid w:val="00101774"/>
    <w:rsid w:val="0010387C"/>
    <w:rsid w:val="001048F9"/>
    <w:rsid w:val="001060C8"/>
    <w:rsid w:val="001106B6"/>
    <w:rsid w:val="0011090E"/>
    <w:rsid w:val="00111EAF"/>
    <w:rsid w:val="00114351"/>
    <w:rsid w:val="00116830"/>
    <w:rsid w:val="0011704B"/>
    <w:rsid w:val="0011799E"/>
    <w:rsid w:val="00117F47"/>
    <w:rsid w:val="001202FF"/>
    <w:rsid w:val="00121DD5"/>
    <w:rsid w:val="00122B87"/>
    <w:rsid w:val="00123C84"/>
    <w:rsid w:val="00123DAB"/>
    <w:rsid w:val="00124CA4"/>
    <w:rsid w:val="00126E0E"/>
    <w:rsid w:val="0012747F"/>
    <w:rsid w:val="00127E6F"/>
    <w:rsid w:val="00130502"/>
    <w:rsid w:val="00132351"/>
    <w:rsid w:val="001329D7"/>
    <w:rsid w:val="001329EB"/>
    <w:rsid w:val="00132A9B"/>
    <w:rsid w:val="00134306"/>
    <w:rsid w:val="001347AE"/>
    <w:rsid w:val="00135C64"/>
    <w:rsid w:val="0013634A"/>
    <w:rsid w:val="00136378"/>
    <w:rsid w:val="00136387"/>
    <w:rsid w:val="00136897"/>
    <w:rsid w:val="0014051A"/>
    <w:rsid w:val="00141085"/>
    <w:rsid w:val="00141E18"/>
    <w:rsid w:val="001428F7"/>
    <w:rsid w:val="00144AE1"/>
    <w:rsid w:val="00145360"/>
    <w:rsid w:val="00145B87"/>
    <w:rsid w:val="00146F81"/>
    <w:rsid w:val="00150821"/>
    <w:rsid w:val="00151DE9"/>
    <w:rsid w:val="001527C5"/>
    <w:rsid w:val="001529F8"/>
    <w:rsid w:val="00155F20"/>
    <w:rsid w:val="00156828"/>
    <w:rsid w:val="00156DBB"/>
    <w:rsid w:val="001601C3"/>
    <w:rsid w:val="001601E2"/>
    <w:rsid w:val="001615CD"/>
    <w:rsid w:val="00162117"/>
    <w:rsid w:val="0016330B"/>
    <w:rsid w:val="0016342A"/>
    <w:rsid w:val="00164DE4"/>
    <w:rsid w:val="001655A3"/>
    <w:rsid w:val="00165E88"/>
    <w:rsid w:val="00166E60"/>
    <w:rsid w:val="00167312"/>
    <w:rsid w:val="00167984"/>
    <w:rsid w:val="001679C5"/>
    <w:rsid w:val="00167F62"/>
    <w:rsid w:val="0017019E"/>
    <w:rsid w:val="00170C87"/>
    <w:rsid w:val="001724F9"/>
    <w:rsid w:val="00172526"/>
    <w:rsid w:val="00172E4D"/>
    <w:rsid w:val="001735DB"/>
    <w:rsid w:val="0017515A"/>
    <w:rsid w:val="00176060"/>
    <w:rsid w:val="001771AD"/>
    <w:rsid w:val="0017772C"/>
    <w:rsid w:val="001777D3"/>
    <w:rsid w:val="00180C5B"/>
    <w:rsid w:val="00182158"/>
    <w:rsid w:val="00182169"/>
    <w:rsid w:val="0018402B"/>
    <w:rsid w:val="0018408B"/>
    <w:rsid w:val="001843F7"/>
    <w:rsid w:val="00186369"/>
    <w:rsid w:val="001864C7"/>
    <w:rsid w:val="00187E78"/>
    <w:rsid w:val="001923D4"/>
    <w:rsid w:val="001939E8"/>
    <w:rsid w:val="00195843"/>
    <w:rsid w:val="001958A4"/>
    <w:rsid w:val="00196B55"/>
    <w:rsid w:val="0019743E"/>
    <w:rsid w:val="00197A8D"/>
    <w:rsid w:val="001A0D30"/>
    <w:rsid w:val="001A2821"/>
    <w:rsid w:val="001A315E"/>
    <w:rsid w:val="001A33C8"/>
    <w:rsid w:val="001A3592"/>
    <w:rsid w:val="001A4F19"/>
    <w:rsid w:val="001A59D1"/>
    <w:rsid w:val="001A5D7C"/>
    <w:rsid w:val="001B03AB"/>
    <w:rsid w:val="001B051A"/>
    <w:rsid w:val="001B0FFD"/>
    <w:rsid w:val="001B1004"/>
    <w:rsid w:val="001B1983"/>
    <w:rsid w:val="001B3985"/>
    <w:rsid w:val="001B727C"/>
    <w:rsid w:val="001B74DA"/>
    <w:rsid w:val="001B791B"/>
    <w:rsid w:val="001C04F3"/>
    <w:rsid w:val="001C069F"/>
    <w:rsid w:val="001C11E6"/>
    <w:rsid w:val="001C1BDA"/>
    <w:rsid w:val="001C2881"/>
    <w:rsid w:val="001C2AD9"/>
    <w:rsid w:val="001C34BF"/>
    <w:rsid w:val="001C4E9F"/>
    <w:rsid w:val="001C5F92"/>
    <w:rsid w:val="001C6345"/>
    <w:rsid w:val="001C6A82"/>
    <w:rsid w:val="001D130E"/>
    <w:rsid w:val="001D3A9B"/>
    <w:rsid w:val="001D422B"/>
    <w:rsid w:val="001D4377"/>
    <w:rsid w:val="001D4CDF"/>
    <w:rsid w:val="001D5F8F"/>
    <w:rsid w:val="001D61C1"/>
    <w:rsid w:val="001D6B71"/>
    <w:rsid w:val="001E08B9"/>
    <w:rsid w:val="001E1294"/>
    <w:rsid w:val="001E1DE6"/>
    <w:rsid w:val="001E22A0"/>
    <w:rsid w:val="001E242A"/>
    <w:rsid w:val="001E382B"/>
    <w:rsid w:val="001E474A"/>
    <w:rsid w:val="001E672B"/>
    <w:rsid w:val="001F18E3"/>
    <w:rsid w:val="001F3596"/>
    <w:rsid w:val="001F51A8"/>
    <w:rsid w:val="001F59A0"/>
    <w:rsid w:val="001F5B08"/>
    <w:rsid w:val="001F6982"/>
    <w:rsid w:val="001F7CBE"/>
    <w:rsid w:val="002008CD"/>
    <w:rsid w:val="00200F52"/>
    <w:rsid w:val="002014E7"/>
    <w:rsid w:val="00202173"/>
    <w:rsid w:val="002035A3"/>
    <w:rsid w:val="00204291"/>
    <w:rsid w:val="00204633"/>
    <w:rsid w:val="00204B3C"/>
    <w:rsid w:val="00205BFE"/>
    <w:rsid w:val="00207107"/>
    <w:rsid w:val="00207613"/>
    <w:rsid w:val="00207F1E"/>
    <w:rsid w:val="00210C7E"/>
    <w:rsid w:val="00211C15"/>
    <w:rsid w:val="002128F1"/>
    <w:rsid w:val="00214F91"/>
    <w:rsid w:val="00215D18"/>
    <w:rsid w:val="00217EA4"/>
    <w:rsid w:val="0022064E"/>
    <w:rsid w:val="0022213E"/>
    <w:rsid w:val="0022230C"/>
    <w:rsid w:val="00222ECA"/>
    <w:rsid w:val="002238C3"/>
    <w:rsid w:val="0022442D"/>
    <w:rsid w:val="00225E1C"/>
    <w:rsid w:val="00226047"/>
    <w:rsid w:val="002303D8"/>
    <w:rsid w:val="00233162"/>
    <w:rsid w:val="00233C5A"/>
    <w:rsid w:val="00234D47"/>
    <w:rsid w:val="00234EF0"/>
    <w:rsid w:val="0023507D"/>
    <w:rsid w:val="0023508C"/>
    <w:rsid w:val="002359AC"/>
    <w:rsid w:val="00235FF7"/>
    <w:rsid w:val="00237C5E"/>
    <w:rsid w:val="00240237"/>
    <w:rsid w:val="002420F6"/>
    <w:rsid w:val="00242698"/>
    <w:rsid w:val="00242763"/>
    <w:rsid w:val="00243F88"/>
    <w:rsid w:val="002445F5"/>
    <w:rsid w:val="002446CB"/>
    <w:rsid w:val="00245F1C"/>
    <w:rsid w:val="00246EB5"/>
    <w:rsid w:val="002476A9"/>
    <w:rsid w:val="00250E71"/>
    <w:rsid w:val="002516D4"/>
    <w:rsid w:val="00253E3C"/>
    <w:rsid w:val="002541F8"/>
    <w:rsid w:val="00254341"/>
    <w:rsid w:val="002548C1"/>
    <w:rsid w:val="002600CB"/>
    <w:rsid w:val="0026026C"/>
    <w:rsid w:val="00260A42"/>
    <w:rsid w:val="00260EBF"/>
    <w:rsid w:val="00261C1C"/>
    <w:rsid w:val="00262994"/>
    <w:rsid w:val="00263245"/>
    <w:rsid w:val="002635FD"/>
    <w:rsid w:val="00264191"/>
    <w:rsid w:val="00264CBD"/>
    <w:rsid w:val="00264FD9"/>
    <w:rsid w:val="00266338"/>
    <w:rsid w:val="00267916"/>
    <w:rsid w:val="00270C30"/>
    <w:rsid w:val="00270EAD"/>
    <w:rsid w:val="00271BDD"/>
    <w:rsid w:val="00273044"/>
    <w:rsid w:val="002755EA"/>
    <w:rsid w:val="002761C3"/>
    <w:rsid w:val="00277168"/>
    <w:rsid w:val="00280B0A"/>
    <w:rsid w:val="002830CF"/>
    <w:rsid w:val="002831EE"/>
    <w:rsid w:val="002834A3"/>
    <w:rsid w:val="00284072"/>
    <w:rsid w:val="0028473E"/>
    <w:rsid w:val="00284CCC"/>
    <w:rsid w:val="00284FB8"/>
    <w:rsid w:val="002907FE"/>
    <w:rsid w:val="00291B45"/>
    <w:rsid w:val="002925BF"/>
    <w:rsid w:val="00292AEC"/>
    <w:rsid w:val="00293067"/>
    <w:rsid w:val="00293883"/>
    <w:rsid w:val="00293E2B"/>
    <w:rsid w:val="002A118E"/>
    <w:rsid w:val="002A4A04"/>
    <w:rsid w:val="002A4D72"/>
    <w:rsid w:val="002A594F"/>
    <w:rsid w:val="002A780A"/>
    <w:rsid w:val="002B0D3B"/>
    <w:rsid w:val="002B2279"/>
    <w:rsid w:val="002B239A"/>
    <w:rsid w:val="002B38B9"/>
    <w:rsid w:val="002B4039"/>
    <w:rsid w:val="002B48EB"/>
    <w:rsid w:val="002B69AC"/>
    <w:rsid w:val="002C15F0"/>
    <w:rsid w:val="002C2FD0"/>
    <w:rsid w:val="002C36AA"/>
    <w:rsid w:val="002C657F"/>
    <w:rsid w:val="002C75E5"/>
    <w:rsid w:val="002D214A"/>
    <w:rsid w:val="002D2F2B"/>
    <w:rsid w:val="002D4A15"/>
    <w:rsid w:val="002D4BDE"/>
    <w:rsid w:val="002D706C"/>
    <w:rsid w:val="002E1DA3"/>
    <w:rsid w:val="002E3C50"/>
    <w:rsid w:val="002E6815"/>
    <w:rsid w:val="002F0A65"/>
    <w:rsid w:val="002F0EDA"/>
    <w:rsid w:val="002F1CB6"/>
    <w:rsid w:val="002F209B"/>
    <w:rsid w:val="002F3A9A"/>
    <w:rsid w:val="002F4497"/>
    <w:rsid w:val="002F4892"/>
    <w:rsid w:val="002F4A48"/>
    <w:rsid w:val="002F4E82"/>
    <w:rsid w:val="002F5232"/>
    <w:rsid w:val="002F593A"/>
    <w:rsid w:val="002F5FC9"/>
    <w:rsid w:val="002F66C1"/>
    <w:rsid w:val="002F67AC"/>
    <w:rsid w:val="002F7CB0"/>
    <w:rsid w:val="00300328"/>
    <w:rsid w:val="0030043E"/>
    <w:rsid w:val="00303DD2"/>
    <w:rsid w:val="00304668"/>
    <w:rsid w:val="003049C6"/>
    <w:rsid w:val="00306C78"/>
    <w:rsid w:val="00307E70"/>
    <w:rsid w:val="0031113E"/>
    <w:rsid w:val="00311399"/>
    <w:rsid w:val="00311FFD"/>
    <w:rsid w:val="00314637"/>
    <w:rsid w:val="00315842"/>
    <w:rsid w:val="00315BC8"/>
    <w:rsid w:val="003202BA"/>
    <w:rsid w:val="0032211F"/>
    <w:rsid w:val="0032279A"/>
    <w:rsid w:val="003250ED"/>
    <w:rsid w:val="00325650"/>
    <w:rsid w:val="00326683"/>
    <w:rsid w:val="003267DF"/>
    <w:rsid w:val="00331604"/>
    <w:rsid w:val="00332439"/>
    <w:rsid w:val="00332708"/>
    <w:rsid w:val="00332C45"/>
    <w:rsid w:val="00332F25"/>
    <w:rsid w:val="003332C9"/>
    <w:rsid w:val="00333587"/>
    <w:rsid w:val="00333CE9"/>
    <w:rsid w:val="003349CF"/>
    <w:rsid w:val="0034090E"/>
    <w:rsid w:val="0034092D"/>
    <w:rsid w:val="00340DE5"/>
    <w:rsid w:val="00341AFA"/>
    <w:rsid w:val="00341CBA"/>
    <w:rsid w:val="00342F59"/>
    <w:rsid w:val="00345E13"/>
    <w:rsid w:val="00346AD6"/>
    <w:rsid w:val="00347AE7"/>
    <w:rsid w:val="00347B13"/>
    <w:rsid w:val="00350045"/>
    <w:rsid w:val="00350BFE"/>
    <w:rsid w:val="00350EA6"/>
    <w:rsid w:val="0035146C"/>
    <w:rsid w:val="003518C5"/>
    <w:rsid w:val="003519BF"/>
    <w:rsid w:val="00351A7C"/>
    <w:rsid w:val="00352FB3"/>
    <w:rsid w:val="0035512D"/>
    <w:rsid w:val="003557B4"/>
    <w:rsid w:val="00356B9F"/>
    <w:rsid w:val="00360033"/>
    <w:rsid w:val="00361971"/>
    <w:rsid w:val="00362DD3"/>
    <w:rsid w:val="0036489C"/>
    <w:rsid w:val="00365AAF"/>
    <w:rsid w:val="00365D39"/>
    <w:rsid w:val="00371709"/>
    <w:rsid w:val="0037238D"/>
    <w:rsid w:val="003735D4"/>
    <w:rsid w:val="00374896"/>
    <w:rsid w:val="00374A6A"/>
    <w:rsid w:val="00376C28"/>
    <w:rsid w:val="0037711C"/>
    <w:rsid w:val="003778EE"/>
    <w:rsid w:val="00377C7C"/>
    <w:rsid w:val="00377DA5"/>
    <w:rsid w:val="00381EB8"/>
    <w:rsid w:val="00381F45"/>
    <w:rsid w:val="003826AA"/>
    <w:rsid w:val="003833DB"/>
    <w:rsid w:val="00386299"/>
    <w:rsid w:val="0038776A"/>
    <w:rsid w:val="0039031E"/>
    <w:rsid w:val="00390513"/>
    <w:rsid w:val="00391722"/>
    <w:rsid w:val="0039246F"/>
    <w:rsid w:val="0039433B"/>
    <w:rsid w:val="003943CE"/>
    <w:rsid w:val="00394B8F"/>
    <w:rsid w:val="003956A0"/>
    <w:rsid w:val="003961F8"/>
    <w:rsid w:val="003A0039"/>
    <w:rsid w:val="003A0B35"/>
    <w:rsid w:val="003A14D8"/>
    <w:rsid w:val="003B0A5B"/>
    <w:rsid w:val="003B0B41"/>
    <w:rsid w:val="003B688A"/>
    <w:rsid w:val="003C0955"/>
    <w:rsid w:val="003C16DE"/>
    <w:rsid w:val="003C1F3A"/>
    <w:rsid w:val="003C28E9"/>
    <w:rsid w:val="003C32F1"/>
    <w:rsid w:val="003C34D8"/>
    <w:rsid w:val="003C414C"/>
    <w:rsid w:val="003C4F32"/>
    <w:rsid w:val="003C63C3"/>
    <w:rsid w:val="003C64FA"/>
    <w:rsid w:val="003C6E1B"/>
    <w:rsid w:val="003C7573"/>
    <w:rsid w:val="003C7E75"/>
    <w:rsid w:val="003D0E95"/>
    <w:rsid w:val="003D11D9"/>
    <w:rsid w:val="003D19D5"/>
    <w:rsid w:val="003E06AE"/>
    <w:rsid w:val="003E0EF1"/>
    <w:rsid w:val="003E17C6"/>
    <w:rsid w:val="003E3C3F"/>
    <w:rsid w:val="003E3D71"/>
    <w:rsid w:val="003E3D81"/>
    <w:rsid w:val="003E3E7B"/>
    <w:rsid w:val="003E4457"/>
    <w:rsid w:val="003E4547"/>
    <w:rsid w:val="003E5FB0"/>
    <w:rsid w:val="003E7BED"/>
    <w:rsid w:val="003F022D"/>
    <w:rsid w:val="003F04E6"/>
    <w:rsid w:val="003F0C51"/>
    <w:rsid w:val="003F0F58"/>
    <w:rsid w:val="003F2B0B"/>
    <w:rsid w:val="003F30AF"/>
    <w:rsid w:val="003F44E3"/>
    <w:rsid w:val="003F47D9"/>
    <w:rsid w:val="003F525E"/>
    <w:rsid w:val="003F529C"/>
    <w:rsid w:val="003F6093"/>
    <w:rsid w:val="003F6B6C"/>
    <w:rsid w:val="003F6CCE"/>
    <w:rsid w:val="003F7F95"/>
    <w:rsid w:val="004021DF"/>
    <w:rsid w:val="00402FFD"/>
    <w:rsid w:val="004041DA"/>
    <w:rsid w:val="004051BD"/>
    <w:rsid w:val="004054F0"/>
    <w:rsid w:val="00405C9A"/>
    <w:rsid w:val="004072D6"/>
    <w:rsid w:val="0040790A"/>
    <w:rsid w:val="0041006A"/>
    <w:rsid w:val="0041013C"/>
    <w:rsid w:val="00411570"/>
    <w:rsid w:val="00414826"/>
    <w:rsid w:val="00414D10"/>
    <w:rsid w:val="00415682"/>
    <w:rsid w:val="0041680A"/>
    <w:rsid w:val="00416876"/>
    <w:rsid w:val="004171C3"/>
    <w:rsid w:val="004203FE"/>
    <w:rsid w:val="00420A1C"/>
    <w:rsid w:val="00422480"/>
    <w:rsid w:val="00422C63"/>
    <w:rsid w:val="00423179"/>
    <w:rsid w:val="004232EE"/>
    <w:rsid w:val="004246BE"/>
    <w:rsid w:val="00425204"/>
    <w:rsid w:val="00425661"/>
    <w:rsid w:val="0042591D"/>
    <w:rsid w:val="00427A7D"/>
    <w:rsid w:val="00431811"/>
    <w:rsid w:val="004325C4"/>
    <w:rsid w:val="00432C56"/>
    <w:rsid w:val="0043375F"/>
    <w:rsid w:val="004339DE"/>
    <w:rsid w:val="004356C0"/>
    <w:rsid w:val="00437727"/>
    <w:rsid w:val="00437E15"/>
    <w:rsid w:val="00440151"/>
    <w:rsid w:val="004402C8"/>
    <w:rsid w:val="00440435"/>
    <w:rsid w:val="0044176A"/>
    <w:rsid w:val="00441E56"/>
    <w:rsid w:val="00441F34"/>
    <w:rsid w:val="00442CA9"/>
    <w:rsid w:val="00443824"/>
    <w:rsid w:val="00443DF0"/>
    <w:rsid w:val="00444CE5"/>
    <w:rsid w:val="00446562"/>
    <w:rsid w:val="00446564"/>
    <w:rsid w:val="00446C0F"/>
    <w:rsid w:val="0044706F"/>
    <w:rsid w:val="00450D73"/>
    <w:rsid w:val="00450DAF"/>
    <w:rsid w:val="004520DA"/>
    <w:rsid w:val="00452A9B"/>
    <w:rsid w:val="00453072"/>
    <w:rsid w:val="00454043"/>
    <w:rsid w:val="0045491E"/>
    <w:rsid w:val="0045568D"/>
    <w:rsid w:val="00455FB5"/>
    <w:rsid w:val="00456DF0"/>
    <w:rsid w:val="00456E25"/>
    <w:rsid w:val="00457020"/>
    <w:rsid w:val="004577EC"/>
    <w:rsid w:val="00457F29"/>
    <w:rsid w:val="00461D99"/>
    <w:rsid w:val="00462244"/>
    <w:rsid w:val="004625A6"/>
    <w:rsid w:val="00463AF8"/>
    <w:rsid w:val="00464F79"/>
    <w:rsid w:val="00464F82"/>
    <w:rsid w:val="00465DE4"/>
    <w:rsid w:val="00465F16"/>
    <w:rsid w:val="00466D9E"/>
    <w:rsid w:val="0046743A"/>
    <w:rsid w:val="004702E2"/>
    <w:rsid w:val="00472059"/>
    <w:rsid w:val="00474B8D"/>
    <w:rsid w:val="00474C52"/>
    <w:rsid w:val="00475BE8"/>
    <w:rsid w:val="00476EB5"/>
    <w:rsid w:val="004771B7"/>
    <w:rsid w:val="004776CD"/>
    <w:rsid w:val="00477D23"/>
    <w:rsid w:val="00480269"/>
    <w:rsid w:val="0048041B"/>
    <w:rsid w:val="004806C5"/>
    <w:rsid w:val="00482145"/>
    <w:rsid w:val="00484715"/>
    <w:rsid w:val="0048575E"/>
    <w:rsid w:val="004865D6"/>
    <w:rsid w:val="004924CB"/>
    <w:rsid w:val="00492AF1"/>
    <w:rsid w:val="00494E86"/>
    <w:rsid w:val="004A1485"/>
    <w:rsid w:val="004A3050"/>
    <w:rsid w:val="004A3D84"/>
    <w:rsid w:val="004A4EEF"/>
    <w:rsid w:val="004A57BA"/>
    <w:rsid w:val="004A5870"/>
    <w:rsid w:val="004A7113"/>
    <w:rsid w:val="004A76F9"/>
    <w:rsid w:val="004A7F3C"/>
    <w:rsid w:val="004B05A2"/>
    <w:rsid w:val="004B2515"/>
    <w:rsid w:val="004B291B"/>
    <w:rsid w:val="004B2AD6"/>
    <w:rsid w:val="004B38B4"/>
    <w:rsid w:val="004B3F36"/>
    <w:rsid w:val="004B416F"/>
    <w:rsid w:val="004B4701"/>
    <w:rsid w:val="004B700F"/>
    <w:rsid w:val="004C07DC"/>
    <w:rsid w:val="004C32D7"/>
    <w:rsid w:val="004C33B2"/>
    <w:rsid w:val="004C3494"/>
    <w:rsid w:val="004C4077"/>
    <w:rsid w:val="004C40F7"/>
    <w:rsid w:val="004C431C"/>
    <w:rsid w:val="004C45C0"/>
    <w:rsid w:val="004C4A1B"/>
    <w:rsid w:val="004C6264"/>
    <w:rsid w:val="004C76EB"/>
    <w:rsid w:val="004D049E"/>
    <w:rsid w:val="004D0659"/>
    <w:rsid w:val="004D0E87"/>
    <w:rsid w:val="004D25C5"/>
    <w:rsid w:val="004D2F3D"/>
    <w:rsid w:val="004D3675"/>
    <w:rsid w:val="004D3943"/>
    <w:rsid w:val="004D59DF"/>
    <w:rsid w:val="004D7B7F"/>
    <w:rsid w:val="004E0525"/>
    <w:rsid w:val="004E087D"/>
    <w:rsid w:val="004E0BC7"/>
    <w:rsid w:val="004E0D3C"/>
    <w:rsid w:val="004E1606"/>
    <w:rsid w:val="004E1E2E"/>
    <w:rsid w:val="004E2913"/>
    <w:rsid w:val="004E4B75"/>
    <w:rsid w:val="004E6E8A"/>
    <w:rsid w:val="004E70D0"/>
    <w:rsid w:val="004E7EA3"/>
    <w:rsid w:val="004F0193"/>
    <w:rsid w:val="004F361B"/>
    <w:rsid w:val="004F4D2B"/>
    <w:rsid w:val="004F6E52"/>
    <w:rsid w:val="004F6F56"/>
    <w:rsid w:val="00500A6A"/>
    <w:rsid w:val="00502CC3"/>
    <w:rsid w:val="005032B0"/>
    <w:rsid w:val="0051016C"/>
    <w:rsid w:val="005131E2"/>
    <w:rsid w:val="0051331E"/>
    <w:rsid w:val="00515144"/>
    <w:rsid w:val="0051562F"/>
    <w:rsid w:val="0051670C"/>
    <w:rsid w:val="00521EB5"/>
    <w:rsid w:val="00523780"/>
    <w:rsid w:val="0052387F"/>
    <w:rsid w:val="00523DBC"/>
    <w:rsid w:val="00526ADA"/>
    <w:rsid w:val="00530E80"/>
    <w:rsid w:val="00533032"/>
    <w:rsid w:val="00534A49"/>
    <w:rsid w:val="00534D20"/>
    <w:rsid w:val="005358A4"/>
    <w:rsid w:val="00536814"/>
    <w:rsid w:val="00536DF4"/>
    <w:rsid w:val="0053797B"/>
    <w:rsid w:val="005440BD"/>
    <w:rsid w:val="00544834"/>
    <w:rsid w:val="00545FE2"/>
    <w:rsid w:val="00547309"/>
    <w:rsid w:val="00550CE6"/>
    <w:rsid w:val="00551861"/>
    <w:rsid w:val="005536E3"/>
    <w:rsid w:val="00553709"/>
    <w:rsid w:val="00553AB9"/>
    <w:rsid w:val="005549D7"/>
    <w:rsid w:val="00556401"/>
    <w:rsid w:val="005612F0"/>
    <w:rsid w:val="005633D6"/>
    <w:rsid w:val="00563CF4"/>
    <w:rsid w:val="0056416E"/>
    <w:rsid w:val="00564BF6"/>
    <w:rsid w:val="00564E53"/>
    <w:rsid w:val="00565D5E"/>
    <w:rsid w:val="00566EF5"/>
    <w:rsid w:val="00567EFA"/>
    <w:rsid w:val="005705EF"/>
    <w:rsid w:val="00571238"/>
    <w:rsid w:val="005734FD"/>
    <w:rsid w:val="0057384F"/>
    <w:rsid w:val="00574C6D"/>
    <w:rsid w:val="00574F07"/>
    <w:rsid w:val="00574F34"/>
    <w:rsid w:val="00575002"/>
    <w:rsid w:val="00576143"/>
    <w:rsid w:val="00576889"/>
    <w:rsid w:val="00576D2F"/>
    <w:rsid w:val="00577EB6"/>
    <w:rsid w:val="005801FD"/>
    <w:rsid w:val="00580782"/>
    <w:rsid w:val="00580B7B"/>
    <w:rsid w:val="00581BC9"/>
    <w:rsid w:val="005877AC"/>
    <w:rsid w:val="00590829"/>
    <w:rsid w:val="00590BC7"/>
    <w:rsid w:val="00593B22"/>
    <w:rsid w:val="00593B7A"/>
    <w:rsid w:val="00594A2F"/>
    <w:rsid w:val="005952B5"/>
    <w:rsid w:val="005956D0"/>
    <w:rsid w:val="00595B9A"/>
    <w:rsid w:val="005962C4"/>
    <w:rsid w:val="00597423"/>
    <w:rsid w:val="00597FA0"/>
    <w:rsid w:val="005A10A4"/>
    <w:rsid w:val="005A2161"/>
    <w:rsid w:val="005A27ED"/>
    <w:rsid w:val="005A2CA3"/>
    <w:rsid w:val="005A34DA"/>
    <w:rsid w:val="005A40DB"/>
    <w:rsid w:val="005A4FF7"/>
    <w:rsid w:val="005A50CA"/>
    <w:rsid w:val="005A5AF6"/>
    <w:rsid w:val="005A71F9"/>
    <w:rsid w:val="005A7623"/>
    <w:rsid w:val="005B1E22"/>
    <w:rsid w:val="005B4E81"/>
    <w:rsid w:val="005B6F23"/>
    <w:rsid w:val="005B7B60"/>
    <w:rsid w:val="005C01AC"/>
    <w:rsid w:val="005C0483"/>
    <w:rsid w:val="005C2237"/>
    <w:rsid w:val="005C333C"/>
    <w:rsid w:val="005C376F"/>
    <w:rsid w:val="005C3C12"/>
    <w:rsid w:val="005C423A"/>
    <w:rsid w:val="005C53CA"/>
    <w:rsid w:val="005C59E1"/>
    <w:rsid w:val="005C7C86"/>
    <w:rsid w:val="005D073C"/>
    <w:rsid w:val="005D1A2A"/>
    <w:rsid w:val="005D1D6F"/>
    <w:rsid w:val="005D2B35"/>
    <w:rsid w:val="005D325E"/>
    <w:rsid w:val="005D3DD3"/>
    <w:rsid w:val="005D676F"/>
    <w:rsid w:val="005D7AE2"/>
    <w:rsid w:val="005E000A"/>
    <w:rsid w:val="005E06E1"/>
    <w:rsid w:val="005E38B5"/>
    <w:rsid w:val="005E3988"/>
    <w:rsid w:val="005E49D8"/>
    <w:rsid w:val="005E4E0B"/>
    <w:rsid w:val="005E55D7"/>
    <w:rsid w:val="005E6003"/>
    <w:rsid w:val="005E7297"/>
    <w:rsid w:val="005E7EB0"/>
    <w:rsid w:val="005F1D6E"/>
    <w:rsid w:val="005F2A71"/>
    <w:rsid w:val="005F3C3F"/>
    <w:rsid w:val="005F3EC3"/>
    <w:rsid w:val="005F500C"/>
    <w:rsid w:val="005F65F1"/>
    <w:rsid w:val="005F7002"/>
    <w:rsid w:val="006019E4"/>
    <w:rsid w:val="00602638"/>
    <w:rsid w:val="0060284C"/>
    <w:rsid w:val="006050CD"/>
    <w:rsid w:val="0060534D"/>
    <w:rsid w:val="006072C5"/>
    <w:rsid w:val="0060755C"/>
    <w:rsid w:val="006077D0"/>
    <w:rsid w:val="00607B97"/>
    <w:rsid w:val="00611C97"/>
    <w:rsid w:val="0061378B"/>
    <w:rsid w:val="00614C92"/>
    <w:rsid w:val="0061611F"/>
    <w:rsid w:val="0061725F"/>
    <w:rsid w:val="006208A2"/>
    <w:rsid w:val="006230ED"/>
    <w:rsid w:val="00624851"/>
    <w:rsid w:val="00625113"/>
    <w:rsid w:val="00625729"/>
    <w:rsid w:val="00626DE7"/>
    <w:rsid w:val="006276DB"/>
    <w:rsid w:val="00631068"/>
    <w:rsid w:val="006316A7"/>
    <w:rsid w:val="0063188F"/>
    <w:rsid w:val="00631E5C"/>
    <w:rsid w:val="00632295"/>
    <w:rsid w:val="00633A91"/>
    <w:rsid w:val="006348C4"/>
    <w:rsid w:val="00634D40"/>
    <w:rsid w:val="00634E98"/>
    <w:rsid w:val="0063558F"/>
    <w:rsid w:val="00635DB1"/>
    <w:rsid w:val="00637346"/>
    <w:rsid w:val="00640C8D"/>
    <w:rsid w:val="006412DC"/>
    <w:rsid w:val="00642464"/>
    <w:rsid w:val="006447C2"/>
    <w:rsid w:val="00644D66"/>
    <w:rsid w:val="00645627"/>
    <w:rsid w:val="00645F2D"/>
    <w:rsid w:val="00646127"/>
    <w:rsid w:val="006465FA"/>
    <w:rsid w:val="00647FF7"/>
    <w:rsid w:val="00650741"/>
    <w:rsid w:val="00651055"/>
    <w:rsid w:val="00651197"/>
    <w:rsid w:val="00651888"/>
    <w:rsid w:val="00651D42"/>
    <w:rsid w:val="006521AA"/>
    <w:rsid w:val="0065365C"/>
    <w:rsid w:val="0065439E"/>
    <w:rsid w:val="0065546C"/>
    <w:rsid w:val="006558AE"/>
    <w:rsid w:val="00656435"/>
    <w:rsid w:val="00656DE3"/>
    <w:rsid w:val="00660292"/>
    <w:rsid w:val="006620EA"/>
    <w:rsid w:val="006628C4"/>
    <w:rsid w:val="00663BD0"/>
    <w:rsid w:val="00663F4C"/>
    <w:rsid w:val="006648AF"/>
    <w:rsid w:val="0066495B"/>
    <w:rsid w:val="00665BBD"/>
    <w:rsid w:val="00665C61"/>
    <w:rsid w:val="00670110"/>
    <w:rsid w:val="00670A4E"/>
    <w:rsid w:val="00670F46"/>
    <w:rsid w:val="006725D0"/>
    <w:rsid w:val="00672BB6"/>
    <w:rsid w:val="00673C2A"/>
    <w:rsid w:val="00674469"/>
    <w:rsid w:val="006757E8"/>
    <w:rsid w:val="00675A17"/>
    <w:rsid w:val="00675EE3"/>
    <w:rsid w:val="00677ACC"/>
    <w:rsid w:val="006811BA"/>
    <w:rsid w:val="006820D8"/>
    <w:rsid w:val="00684842"/>
    <w:rsid w:val="006848F6"/>
    <w:rsid w:val="00684986"/>
    <w:rsid w:val="006851F4"/>
    <w:rsid w:val="006858C4"/>
    <w:rsid w:val="00685E79"/>
    <w:rsid w:val="00686233"/>
    <w:rsid w:val="006876FF"/>
    <w:rsid w:val="0068780D"/>
    <w:rsid w:val="00690840"/>
    <w:rsid w:val="00690949"/>
    <w:rsid w:val="00690A0A"/>
    <w:rsid w:val="00691721"/>
    <w:rsid w:val="00692811"/>
    <w:rsid w:val="0069306F"/>
    <w:rsid w:val="0069351A"/>
    <w:rsid w:val="00693B49"/>
    <w:rsid w:val="00693F32"/>
    <w:rsid w:val="0069510E"/>
    <w:rsid w:val="0069691A"/>
    <w:rsid w:val="00696DDF"/>
    <w:rsid w:val="006971C4"/>
    <w:rsid w:val="006A05DE"/>
    <w:rsid w:val="006A063B"/>
    <w:rsid w:val="006A26FA"/>
    <w:rsid w:val="006A4132"/>
    <w:rsid w:val="006A59BA"/>
    <w:rsid w:val="006A6522"/>
    <w:rsid w:val="006A7E4A"/>
    <w:rsid w:val="006B2EEA"/>
    <w:rsid w:val="006B46D4"/>
    <w:rsid w:val="006B63BE"/>
    <w:rsid w:val="006B6D01"/>
    <w:rsid w:val="006B7691"/>
    <w:rsid w:val="006B7DB0"/>
    <w:rsid w:val="006C113D"/>
    <w:rsid w:val="006C175F"/>
    <w:rsid w:val="006C18A8"/>
    <w:rsid w:val="006C295C"/>
    <w:rsid w:val="006C2AB4"/>
    <w:rsid w:val="006C33F5"/>
    <w:rsid w:val="006C4A2D"/>
    <w:rsid w:val="006C608C"/>
    <w:rsid w:val="006C6502"/>
    <w:rsid w:val="006C7746"/>
    <w:rsid w:val="006D14DE"/>
    <w:rsid w:val="006D2CCC"/>
    <w:rsid w:val="006D350C"/>
    <w:rsid w:val="006D3527"/>
    <w:rsid w:val="006D5318"/>
    <w:rsid w:val="006D5BA3"/>
    <w:rsid w:val="006D5CBB"/>
    <w:rsid w:val="006D7535"/>
    <w:rsid w:val="006E0030"/>
    <w:rsid w:val="006E0144"/>
    <w:rsid w:val="006E1AF0"/>
    <w:rsid w:val="006E23E3"/>
    <w:rsid w:val="006E2D3D"/>
    <w:rsid w:val="006E42DC"/>
    <w:rsid w:val="006E4367"/>
    <w:rsid w:val="006E5C8B"/>
    <w:rsid w:val="006E62D5"/>
    <w:rsid w:val="006E7805"/>
    <w:rsid w:val="006E7822"/>
    <w:rsid w:val="006E7A87"/>
    <w:rsid w:val="006F03FD"/>
    <w:rsid w:val="006F0A8A"/>
    <w:rsid w:val="006F3A94"/>
    <w:rsid w:val="006F52CA"/>
    <w:rsid w:val="006F5FF6"/>
    <w:rsid w:val="006F6B53"/>
    <w:rsid w:val="006F722E"/>
    <w:rsid w:val="006F7575"/>
    <w:rsid w:val="00700D4C"/>
    <w:rsid w:val="00701621"/>
    <w:rsid w:val="00701C3B"/>
    <w:rsid w:val="00703795"/>
    <w:rsid w:val="0070564B"/>
    <w:rsid w:val="00705ADB"/>
    <w:rsid w:val="007060EF"/>
    <w:rsid w:val="00706DE7"/>
    <w:rsid w:val="00707A36"/>
    <w:rsid w:val="00712289"/>
    <w:rsid w:val="007128CA"/>
    <w:rsid w:val="0071306B"/>
    <w:rsid w:val="00713648"/>
    <w:rsid w:val="00713874"/>
    <w:rsid w:val="0071489C"/>
    <w:rsid w:val="007165F4"/>
    <w:rsid w:val="007167D1"/>
    <w:rsid w:val="007170CD"/>
    <w:rsid w:val="00717A06"/>
    <w:rsid w:val="00717E84"/>
    <w:rsid w:val="00717FD9"/>
    <w:rsid w:val="0072018F"/>
    <w:rsid w:val="00720E4F"/>
    <w:rsid w:val="00721E32"/>
    <w:rsid w:val="00721F6D"/>
    <w:rsid w:val="00722661"/>
    <w:rsid w:val="00723365"/>
    <w:rsid w:val="007234B0"/>
    <w:rsid w:val="007240FA"/>
    <w:rsid w:val="0072481B"/>
    <w:rsid w:val="00724D5A"/>
    <w:rsid w:val="007253F4"/>
    <w:rsid w:val="00725476"/>
    <w:rsid w:val="00725D9B"/>
    <w:rsid w:val="00726C79"/>
    <w:rsid w:val="00726E1F"/>
    <w:rsid w:val="0073084D"/>
    <w:rsid w:val="00730E5C"/>
    <w:rsid w:val="007312CD"/>
    <w:rsid w:val="0073280C"/>
    <w:rsid w:val="00735016"/>
    <w:rsid w:val="00735723"/>
    <w:rsid w:val="007358E9"/>
    <w:rsid w:val="007359CA"/>
    <w:rsid w:val="0073666F"/>
    <w:rsid w:val="00736903"/>
    <w:rsid w:val="007372D3"/>
    <w:rsid w:val="00741FAD"/>
    <w:rsid w:val="00742660"/>
    <w:rsid w:val="00743DCF"/>
    <w:rsid w:val="00744FBA"/>
    <w:rsid w:val="0074514C"/>
    <w:rsid w:val="00745909"/>
    <w:rsid w:val="00747626"/>
    <w:rsid w:val="00747E51"/>
    <w:rsid w:val="0075166A"/>
    <w:rsid w:val="007518F0"/>
    <w:rsid w:val="007519B6"/>
    <w:rsid w:val="00751E91"/>
    <w:rsid w:val="00751F55"/>
    <w:rsid w:val="0075231A"/>
    <w:rsid w:val="0075265B"/>
    <w:rsid w:val="007536FF"/>
    <w:rsid w:val="00754FA7"/>
    <w:rsid w:val="007559E5"/>
    <w:rsid w:val="00755BD1"/>
    <w:rsid w:val="00756AFB"/>
    <w:rsid w:val="00756C6B"/>
    <w:rsid w:val="00757020"/>
    <w:rsid w:val="00760A24"/>
    <w:rsid w:val="00762ABC"/>
    <w:rsid w:val="00762D6D"/>
    <w:rsid w:val="0076312F"/>
    <w:rsid w:val="00763160"/>
    <w:rsid w:val="007650BC"/>
    <w:rsid w:val="00766A64"/>
    <w:rsid w:val="00766B9B"/>
    <w:rsid w:val="00766F8D"/>
    <w:rsid w:val="00770FC6"/>
    <w:rsid w:val="0077742C"/>
    <w:rsid w:val="00777C43"/>
    <w:rsid w:val="00777D55"/>
    <w:rsid w:val="007804C0"/>
    <w:rsid w:val="00781810"/>
    <w:rsid w:val="00781E29"/>
    <w:rsid w:val="00782892"/>
    <w:rsid w:val="00782BD4"/>
    <w:rsid w:val="007832BE"/>
    <w:rsid w:val="007842FE"/>
    <w:rsid w:val="00784F5B"/>
    <w:rsid w:val="007854EB"/>
    <w:rsid w:val="00785E33"/>
    <w:rsid w:val="00786AA9"/>
    <w:rsid w:val="00786B02"/>
    <w:rsid w:val="007875BE"/>
    <w:rsid w:val="007879CA"/>
    <w:rsid w:val="007907B9"/>
    <w:rsid w:val="00790D67"/>
    <w:rsid w:val="007912C5"/>
    <w:rsid w:val="00793B47"/>
    <w:rsid w:val="00793EBD"/>
    <w:rsid w:val="00794FD4"/>
    <w:rsid w:val="007950BF"/>
    <w:rsid w:val="00795CF8"/>
    <w:rsid w:val="007962A2"/>
    <w:rsid w:val="00796AA3"/>
    <w:rsid w:val="0079753E"/>
    <w:rsid w:val="007A00EA"/>
    <w:rsid w:val="007A0693"/>
    <w:rsid w:val="007A111D"/>
    <w:rsid w:val="007A17E3"/>
    <w:rsid w:val="007A3411"/>
    <w:rsid w:val="007A5D46"/>
    <w:rsid w:val="007A6732"/>
    <w:rsid w:val="007A72DA"/>
    <w:rsid w:val="007B06E4"/>
    <w:rsid w:val="007B11AD"/>
    <w:rsid w:val="007B2C1C"/>
    <w:rsid w:val="007B5540"/>
    <w:rsid w:val="007B756D"/>
    <w:rsid w:val="007C2B9B"/>
    <w:rsid w:val="007C3D4B"/>
    <w:rsid w:val="007C56FF"/>
    <w:rsid w:val="007D072D"/>
    <w:rsid w:val="007D0CDD"/>
    <w:rsid w:val="007D0D40"/>
    <w:rsid w:val="007D1743"/>
    <w:rsid w:val="007D2C31"/>
    <w:rsid w:val="007D3CEA"/>
    <w:rsid w:val="007D46D5"/>
    <w:rsid w:val="007D6A32"/>
    <w:rsid w:val="007D796C"/>
    <w:rsid w:val="007D7CCE"/>
    <w:rsid w:val="007E0231"/>
    <w:rsid w:val="007E0236"/>
    <w:rsid w:val="007E0584"/>
    <w:rsid w:val="007E1812"/>
    <w:rsid w:val="007E3FCA"/>
    <w:rsid w:val="007E43E2"/>
    <w:rsid w:val="007E5FA4"/>
    <w:rsid w:val="007E6B07"/>
    <w:rsid w:val="007E7685"/>
    <w:rsid w:val="007F1682"/>
    <w:rsid w:val="007F178A"/>
    <w:rsid w:val="007F1C44"/>
    <w:rsid w:val="007F2590"/>
    <w:rsid w:val="007F3169"/>
    <w:rsid w:val="007F42F2"/>
    <w:rsid w:val="007F53BF"/>
    <w:rsid w:val="007F56F4"/>
    <w:rsid w:val="007F610A"/>
    <w:rsid w:val="007F68A8"/>
    <w:rsid w:val="007F6CA6"/>
    <w:rsid w:val="0080003C"/>
    <w:rsid w:val="00800DB9"/>
    <w:rsid w:val="008018B3"/>
    <w:rsid w:val="00802B4A"/>
    <w:rsid w:val="00802C84"/>
    <w:rsid w:val="008037F8"/>
    <w:rsid w:val="008045B8"/>
    <w:rsid w:val="00804BD6"/>
    <w:rsid w:val="00804D86"/>
    <w:rsid w:val="00804DAD"/>
    <w:rsid w:val="008070ED"/>
    <w:rsid w:val="00807376"/>
    <w:rsid w:val="00807D5B"/>
    <w:rsid w:val="00810795"/>
    <w:rsid w:val="0081090B"/>
    <w:rsid w:val="00810F06"/>
    <w:rsid w:val="00813401"/>
    <w:rsid w:val="008156DA"/>
    <w:rsid w:val="0081598D"/>
    <w:rsid w:val="008161B4"/>
    <w:rsid w:val="00817BE7"/>
    <w:rsid w:val="00817F80"/>
    <w:rsid w:val="00820905"/>
    <w:rsid w:val="0082105A"/>
    <w:rsid w:val="00825EF2"/>
    <w:rsid w:val="008262CC"/>
    <w:rsid w:val="008300A3"/>
    <w:rsid w:val="00830BC8"/>
    <w:rsid w:val="0083265B"/>
    <w:rsid w:val="0083310B"/>
    <w:rsid w:val="00835E7F"/>
    <w:rsid w:val="00836012"/>
    <w:rsid w:val="00840203"/>
    <w:rsid w:val="008404DD"/>
    <w:rsid w:val="008419EB"/>
    <w:rsid w:val="00841BD9"/>
    <w:rsid w:val="00842F3E"/>
    <w:rsid w:val="008438D9"/>
    <w:rsid w:val="00843E43"/>
    <w:rsid w:val="00844924"/>
    <w:rsid w:val="008452E6"/>
    <w:rsid w:val="00845F43"/>
    <w:rsid w:val="0084636E"/>
    <w:rsid w:val="00846876"/>
    <w:rsid w:val="008501F3"/>
    <w:rsid w:val="00850BBC"/>
    <w:rsid w:val="0085176E"/>
    <w:rsid w:val="00852652"/>
    <w:rsid w:val="00852C1A"/>
    <w:rsid w:val="008560D6"/>
    <w:rsid w:val="00856DBC"/>
    <w:rsid w:val="00856F2A"/>
    <w:rsid w:val="00860A35"/>
    <w:rsid w:val="00862035"/>
    <w:rsid w:val="008623E2"/>
    <w:rsid w:val="00862812"/>
    <w:rsid w:val="0086335B"/>
    <w:rsid w:val="008640AA"/>
    <w:rsid w:val="00864919"/>
    <w:rsid w:val="00865D4C"/>
    <w:rsid w:val="00867B16"/>
    <w:rsid w:val="00870BE1"/>
    <w:rsid w:val="00870F18"/>
    <w:rsid w:val="00871256"/>
    <w:rsid w:val="008712D2"/>
    <w:rsid w:val="00871780"/>
    <w:rsid w:val="008725E0"/>
    <w:rsid w:val="00872801"/>
    <w:rsid w:val="00873947"/>
    <w:rsid w:val="00874898"/>
    <w:rsid w:val="00874A97"/>
    <w:rsid w:val="00875018"/>
    <w:rsid w:val="00875D7E"/>
    <w:rsid w:val="00876A61"/>
    <w:rsid w:val="00876C0E"/>
    <w:rsid w:val="008774C2"/>
    <w:rsid w:val="008777B7"/>
    <w:rsid w:val="00880550"/>
    <w:rsid w:val="008812F4"/>
    <w:rsid w:val="0088265F"/>
    <w:rsid w:val="00882EC2"/>
    <w:rsid w:val="00884DBA"/>
    <w:rsid w:val="00884EAD"/>
    <w:rsid w:val="00885911"/>
    <w:rsid w:val="008859E4"/>
    <w:rsid w:val="00886F1C"/>
    <w:rsid w:val="0089028B"/>
    <w:rsid w:val="00890F02"/>
    <w:rsid w:val="00891651"/>
    <w:rsid w:val="00892044"/>
    <w:rsid w:val="008926A3"/>
    <w:rsid w:val="00892FCA"/>
    <w:rsid w:val="0089313B"/>
    <w:rsid w:val="00894137"/>
    <w:rsid w:val="0089558D"/>
    <w:rsid w:val="008A011E"/>
    <w:rsid w:val="008A3C41"/>
    <w:rsid w:val="008A42ED"/>
    <w:rsid w:val="008A49DA"/>
    <w:rsid w:val="008A558F"/>
    <w:rsid w:val="008A6165"/>
    <w:rsid w:val="008A6CAE"/>
    <w:rsid w:val="008A7A12"/>
    <w:rsid w:val="008B1524"/>
    <w:rsid w:val="008B162B"/>
    <w:rsid w:val="008B3392"/>
    <w:rsid w:val="008B57C9"/>
    <w:rsid w:val="008B5EF4"/>
    <w:rsid w:val="008B686D"/>
    <w:rsid w:val="008B7268"/>
    <w:rsid w:val="008B727A"/>
    <w:rsid w:val="008B7447"/>
    <w:rsid w:val="008C282D"/>
    <w:rsid w:val="008C34B4"/>
    <w:rsid w:val="008C3BF7"/>
    <w:rsid w:val="008C48B8"/>
    <w:rsid w:val="008C5080"/>
    <w:rsid w:val="008C6270"/>
    <w:rsid w:val="008D0C50"/>
    <w:rsid w:val="008D1A10"/>
    <w:rsid w:val="008D1B4E"/>
    <w:rsid w:val="008D29DD"/>
    <w:rsid w:val="008D2FB6"/>
    <w:rsid w:val="008D311E"/>
    <w:rsid w:val="008D35E0"/>
    <w:rsid w:val="008D4CC9"/>
    <w:rsid w:val="008D5967"/>
    <w:rsid w:val="008D6945"/>
    <w:rsid w:val="008E264B"/>
    <w:rsid w:val="008E27DD"/>
    <w:rsid w:val="008E31E5"/>
    <w:rsid w:val="008E33DB"/>
    <w:rsid w:val="008E6F9D"/>
    <w:rsid w:val="008E75AE"/>
    <w:rsid w:val="008F294E"/>
    <w:rsid w:val="008F3F7E"/>
    <w:rsid w:val="008F4BA5"/>
    <w:rsid w:val="008F5024"/>
    <w:rsid w:val="008F68EE"/>
    <w:rsid w:val="008F71EC"/>
    <w:rsid w:val="008F7350"/>
    <w:rsid w:val="008F7734"/>
    <w:rsid w:val="00900EEB"/>
    <w:rsid w:val="00902A06"/>
    <w:rsid w:val="00903757"/>
    <w:rsid w:val="00903B57"/>
    <w:rsid w:val="00903B64"/>
    <w:rsid w:val="00904E24"/>
    <w:rsid w:val="00905494"/>
    <w:rsid w:val="009069D7"/>
    <w:rsid w:val="00906CE9"/>
    <w:rsid w:val="009071C1"/>
    <w:rsid w:val="00907DFC"/>
    <w:rsid w:val="00910A6F"/>
    <w:rsid w:val="00911903"/>
    <w:rsid w:val="00911CAD"/>
    <w:rsid w:val="009130DF"/>
    <w:rsid w:val="009151FF"/>
    <w:rsid w:val="0091528B"/>
    <w:rsid w:val="009165D4"/>
    <w:rsid w:val="0092180C"/>
    <w:rsid w:val="009222CD"/>
    <w:rsid w:val="009227FD"/>
    <w:rsid w:val="00924012"/>
    <w:rsid w:val="00925AF1"/>
    <w:rsid w:val="009260BA"/>
    <w:rsid w:val="00931CA8"/>
    <w:rsid w:val="009342FA"/>
    <w:rsid w:val="009367EC"/>
    <w:rsid w:val="00937B31"/>
    <w:rsid w:val="00940A27"/>
    <w:rsid w:val="0094145C"/>
    <w:rsid w:val="00942954"/>
    <w:rsid w:val="009437DF"/>
    <w:rsid w:val="00945631"/>
    <w:rsid w:val="00945CBD"/>
    <w:rsid w:val="00947D94"/>
    <w:rsid w:val="009500C4"/>
    <w:rsid w:val="00950946"/>
    <w:rsid w:val="00950B11"/>
    <w:rsid w:val="00951104"/>
    <w:rsid w:val="009518F1"/>
    <w:rsid w:val="0095267E"/>
    <w:rsid w:val="00952A23"/>
    <w:rsid w:val="00953BFB"/>
    <w:rsid w:val="00954B94"/>
    <w:rsid w:val="00954F28"/>
    <w:rsid w:val="009552E7"/>
    <w:rsid w:val="00955377"/>
    <w:rsid w:val="00960B31"/>
    <w:rsid w:val="00961806"/>
    <w:rsid w:val="0096247A"/>
    <w:rsid w:val="00964436"/>
    <w:rsid w:val="009648D0"/>
    <w:rsid w:val="009651F3"/>
    <w:rsid w:val="00965A90"/>
    <w:rsid w:val="00965B1D"/>
    <w:rsid w:val="00966059"/>
    <w:rsid w:val="0096632A"/>
    <w:rsid w:val="00966D2E"/>
    <w:rsid w:val="00970C47"/>
    <w:rsid w:val="00972774"/>
    <w:rsid w:val="00974B7F"/>
    <w:rsid w:val="00974CAD"/>
    <w:rsid w:val="0097579E"/>
    <w:rsid w:val="00976E12"/>
    <w:rsid w:val="00977476"/>
    <w:rsid w:val="009775A5"/>
    <w:rsid w:val="009806B2"/>
    <w:rsid w:val="00980723"/>
    <w:rsid w:val="00981C7F"/>
    <w:rsid w:val="00981E3B"/>
    <w:rsid w:val="00981F68"/>
    <w:rsid w:val="009875CE"/>
    <w:rsid w:val="00987872"/>
    <w:rsid w:val="00991B39"/>
    <w:rsid w:val="0099281E"/>
    <w:rsid w:val="00993FF5"/>
    <w:rsid w:val="00994336"/>
    <w:rsid w:val="0099525E"/>
    <w:rsid w:val="00995261"/>
    <w:rsid w:val="00995C64"/>
    <w:rsid w:val="00995C69"/>
    <w:rsid w:val="00996DAE"/>
    <w:rsid w:val="00997846"/>
    <w:rsid w:val="00997F53"/>
    <w:rsid w:val="009A005D"/>
    <w:rsid w:val="009A1A93"/>
    <w:rsid w:val="009A2023"/>
    <w:rsid w:val="009A4D5F"/>
    <w:rsid w:val="009A4ED6"/>
    <w:rsid w:val="009A4F23"/>
    <w:rsid w:val="009A6888"/>
    <w:rsid w:val="009A69B8"/>
    <w:rsid w:val="009A6A79"/>
    <w:rsid w:val="009A7A48"/>
    <w:rsid w:val="009A7E12"/>
    <w:rsid w:val="009B260E"/>
    <w:rsid w:val="009B27A7"/>
    <w:rsid w:val="009B3892"/>
    <w:rsid w:val="009B3F31"/>
    <w:rsid w:val="009B485F"/>
    <w:rsid w:val="009B4CDC"/>
    <w:rsid w:val="009B4D2C"/>
    <w:rsid w:val="009B53E6"/>
    <w:rsid w:val="009B5DBB"/>
    <w:rsid w:val="009B6766"/>
    <w:rsid w:val="009B7CE7"/>
    <w:rsid w:val="009C2B0C"/>
    <w:rsid w:val="009C469F"/>
    <w:rsid w:val="009C47BE"/>
    <w:rsid w:val="009C4DAE"/>
    <w:rsid w:val="009C4E6E"/>
    <w:rsid w:val="009C52AD"/>
    <w:rsid w:val="009C5B30"/>
    <w:rsid w:val="009C6EC8"/>
    <w:rsid w:val="009D020D"/>
    <w:rsid w:val="009D56EA"/>
    <w:rsid w:val="009E2CC1"/>
    <w:rsid w:val="009E2E03"/>
    <w:rsid w:val="009E7EF6"/>
    <w:rsid w:val="009F18D3"/>
    <w:rsid w:val="009F2164"/>
    <w:rsid w:val="009F3122"/>
    <w:rsid w:val="009F4453"/>
    <w:rsid w:val="009F4E43"/>
    <w:rsid w:val="00A01087"/>
    <w:rsid w:val="00A019C9"/>
    <w:rsid w:val="00A01E7C"/>
    <w:rsid w:val="00A0301E"/>
    <w:rsid w:val="00A041B2"/>
    <w:rsid w:val="00A04E33"/>
    <w:rsid w:val="00A04FEB"/>
    <w:rsid w:val="00A0601E"/>
    <w:rsid w:val="00A06E75"/>
    <w:rsid w:val="00A06EBA"/>
    <w:rsid w:val="00A07F90"/>
    <w:rsid w:val="00A1082B"/>
    <w:rsid w:val="00A10F9F"/>
    <w:rsid w:val="00A1128F"/>
    <w:rsid w:val="00A11CD1"/>
    <w:rsid w:val="00A12E6C"/>
    <w:rsid w:val="00A14E54"/>
    <w:rsid w:val="00A15E64"/>
    <w:rsid w:val="00A16CBE"/>
    <w:rsid w:val="00A16EF1"/>
    <w:rsid w:val="00A201E7"/>
    <w:rsid w:val="00A202B5"/>
    <w:rsid w:val="00A205A7"/>
    <w:rsid w:val="00A21AF7"/>
    <w:rsid w:val="00A2214F"/>
    <w:rsid w:val="00A236C9"/>
    <w:rsid w:val="00A23758"/>
    <w:rsid w:val="00A2404E"/>
    <w:rsid w:val="00A24510"/>
    <w:rsid w:val="00A24D44"/>
    <w:rsid w:val="00A26FC6"/>
    <w:rsid w:val="00A26FFB"/>
    <w:rsid w:val="00A272C7"/>
    <w:rsid w:val="00A27766"/>
    <w:rsid w:val="00A305C6"/>
    <w:rsid w:val="00A3086B"/>
    <w:rsid w:val="00A30A5B"/>
    <w:rsid w:val="00A3229A"/>
    <w:rsid w:val="00A327EB"/>
    <w:rsid w:val="00A3327B"/>
    <w:rsid w:val="00A3351F"/>
    <w:rsid w:val="00A34C35"/>
    <w:rsid w:val="00A36631"/>
    <w:rsid w:val="00A36B65"/>
    <w:rsid w:val="00A374A9"/>
    <w:rsid w:val="00A40D47"/>
    <w:rsid w:val="00A412BF"/>
    <w:rsid w:val="00A41587"/>
    <w:rsid w:val="00A430DF"/>
    <w:rsid w:val="00A4577D"/>
    <w:rsid w:val="00A47E94"/>
    <w:rsid w:val="00A5241B"/>
    <w:rsid w:val="00A5270F"/>
    <w:rsid w:val="00A52AF9"/>
    <w:rsid w:val="00A541FC"/>
    <w:rsid w:val="00A5471D"/>
    <w:rsid w:val="00A54FE1"/>
    <w:rsid w:val="00A55CE8"/>
    <w:rsid w:val="00A56AEC"/>
    <w:rsid w:val="00A60342"/>
    <w:rsid w:val="00A621FE"/>
    <w:rsid w:val="00A628C4"/>
    <w:rsid w:val="00A65B80"/>
    <w:rsid w:val="00A661BC"/>
    <w:rsid w:val="00A664A3"/>
    <w:rsid w:val="00A66BD2"/>
    <w:rsid w:val="00A67C11"/>
    <w:rsid w:val="00A67C2D"/>
    <w:rsid w:val="00A7060F"/>
    <w:rsid w:val="00A70849"/>
    <w:rsid w:val="00A71FC0"/>
    <w:rsid w:val="00A72AE6"/>
    <w:rsid w:val="00A73DC4"/>
    <w:rsid w:val="00A73E31"/>
    <w:rsid w:val="00A74306"/>
    <w:rsid w:val="00A7436B"/>
    <w:rsid w:val="00A7745C"/>
    <w:rsid w:val="00A807E3"/>
    <w:rsid w:val="00A82089"/>
    <w:rsid w:val="00A825B3"/>
    <w:rsid w:val="00A82729"/>
    <w:rsid w:val="00A83CFA"/>
    <w:rsid w:val="00A848A0"/>
    <w:rsid w:val="00A85D29"/>
    <w:rsid w:val="00A87994"/>
    <w:rsid w:val="00A90126"/>
    <w:rsid w:val="00A90B1B"/>
    <w:rsid w:val="00A91A52"/>
    <w:rsid w:val="00A92751"/>
    <w:rsid w:val="00A92834"/>
    <w:rsid w:val="00A93681"/>
    <w:rsid w:val="00A9391F"/>
    <w:rsid w:val="00A94836"/>
    <w:rsid w:val="00A949E2"/>
    <w:rsid w:val="00A94FDD"/>
    <w:rsid w:val="00A9522A"/>
    <w:rsid w:val="00A954DD"/>
    <w:rsid w:val="00A95551"/>
    <w:rsid w:val="00A95CDD"/>
    <w:rsid w:val="00A95DB2"/>
    <w:rsid w:val="00A96BC2"/>
    <w:rsid w:val="00AA031D"/>
    <w:rsid w:val="00AA1664"/>
    <w:rsid w:val="00AA1807"/>
    <w:rsid w:val="00AA30A5"/>
    <w:rsid w:val="00AA6850"/>
    <w:rsid w:val="00AA6AC4"/>
    <w:rsid w:val="00AB049A"/>
    <w:rsid w:val="00AB1606"/>
    <w:rsid w:val="00AB30B9"/>
    <w:rsid w:val="00AB382C"/>
    <w:rsid w:val="00AB4217"/>
    <w:rsid w:val="00AB4F6D"/>
    <w:rsid w:val="00AB5386"/>
    <w:rsid w:val="00AB55D3"/>
    <w:rsid w:val="00AB56AF"/>
    <w:rsid w:val="00AB60D9"/>
    <w:rsid w:val="00AB6208"/>
    <w:rsid w:val="00AB699E"/>
    <w:rsid w:val="00AB746A"/>
    <w:rsid w:val="00AC027C"/>
    <w:rsid w:val="00AC149D"/>
    <w:rsid w:val="00AC16F2"/>
    <w:rsid w:val="00AC1BCA"/>
    <w:rsid w:val="00AC2679"/>
    <w:rsid w:val="00AC27B2"/>
    <w:rsid w:val="00AC374A"/>
    <w:rsid w:val="00AC40BD"/>
    <w:rsid w:val="00AC4355"/>
    <w:rsid w:val="00AC448D"/>
    <w:rsid w:val="00AC5998"/>
    <w:rsid w:val="00AD1229"/>
    <w:rsid w:val="00AD1396"/>
    <w:rsid w:val="00AD1700"/>
    <w:rsid w:val="00AD31A0"/>
    <w:rsid w:val="00AD3792"/>
    <w:rsid w:val="00AD44DD"/>
    <w:rsid w:val="00AD5107"/>
    <w:rsid w:val="00AD6FE2"/>
    <w:rsid w:val="00AE428D"/>
    <w:rsid w:val="00AE4791"/>
    <w:rsid w:val="00AE63E8"/>
    <w:rsid w:val="00AE693F"/>
    <w:rsid w:val="00AE6FEA"/>
    <w:rsid w:val="00AE73F5"/>
    <w:rsid w:val="00AE786A"/>
    <w:rsid w:val="00AE79BA"/>
    <w:rsid w:val="00AE7FE7"/>
    <w:rsid w:val="00AF0CEE"/>
    <w:rsid w:val="00AF39A5"/>
    <w:rsid w:val="00AF40FD"/>
    <w:rsid w:val="00AF4863"/>
    <w:rsid w:val="00AF680A"/>
    <w:rsid w:val="00AF69F9"/>
    <w:rsid w:val="00AF6B32"/>
    <w:rsid w:val="00AF7C28"/>
    <w:rsid w:val="00B02070"/>
    <w:rsid w:val="00B03899"/>
    <w:rsid w:val="00B0449C"/>
    <w:rsid w:val="00B044EF"/>
    <w:rsid w:val="00B045F6"/>
    <w:rsid w:val="00B05881"/>
    <w:rsid w:val="00B05FE0"/>
    <w:rsid w:val="00B077E8"/>
    <w:rsid w:val="00B10C6A"/>
    <w:rsid w:val="00B11AF2"/>
    <w:rsid w:val="00B12593"/>
    <w:rsid w:val="00B12D1C"/>
    <w:rsid w:val="00B14A15"/>
    <w:rsid w:val="00B15DCA"/>
    <w:rsid w:val="00B15F64"/>
    <w:rsid w:val="00B16D73"/>
    <w:rsid w:val="00B179D0"/>
    <w:rsid w:val="00B20068"/>
    <w:rsid w:val="00B23241"/>
    <w:rsid w:val="00B232DD"/>
    <w:rsid w:val="00B24BF6"/>
    <w:rsid w:val="00B24E74"/>
    <w:rsid w:val="00B258B4"/>
    <w:rsid w:val="00B25D9D"/>
    <w:rsid w:val="00B275A7"/>
    <w:rsid w:val="00B31AC9"/>
    <w:rsid w:val="00B31C43"/>
    <w:rsid w:val="00B33132"/>
    <w:rsid w:val="00B332E0"/>
    <w:rsid w:val="00B3410E"/>
    <w:rsid w:val="00B35AAB"/>
    <w:rsid w:val="00B35B92"/>
    <w:rsid w:val="00B35D56"/>
    <w:rsid w:val="00B36B32"/>
    <w:rsid w:val="00B37B1E"/>
    <w:rsid w:val="00B4014D"/>
    <w:rsid w:val="00B42567"/>
    <w:rsid w:val="00B42D19"/>
    <w:rsid w:val="00B445BA"/>
    <w:rsid w:val="00B452E3"/>
    <w:rsid w:val="00B47765"/>
    <w:rsid w:val="00B52944"/>
    <w:rsid w:val="00B543CE"/>
    <w:rsid w:val="00B54BF2"/>
    <w:rsid w:val="00B54C93"/>
    <w:rsid w:val="00B56525"/>
    <w:rsid w:val="00B60BDF"/>
    <w:rsid w:val="00B60D83"/>
    <w:rsid w:val="00B60F61"/>
    <w:rsid w:val="00B649CE"/>
    <w:rsid w:val="00B64F6A"/>
    <w:rsid w:val="00B6730D"/>
    <w:rsid w:val="00B6756B"/>
    <w:rsid w:val="00B67A03"/>
    <w:rsid w:val="00B67D4B"/>
    <w:rsid w:val="00B70FAD"/>
    <w:rsid w:val="00B71940"/>
    <w:rsid w:val="00B728DE"/>
    <w:rsid w:val="00B73195"/>
    <w:rsid w:val="00B74392"/>
    <w:rsid w:val="00B745E3"/>
    <w:rsid w:val="00B745F3"/>
    <w:rsid w:val="00B746A5"/>
    <w:rsid w:val="00B76FDD"/>
    <w:rsid w:val="00B7787C"/>
    <w:rsid w:val="00B8161D"/>
    <w:rsid w:val="00B81E89"/>
    <w:rsid w:val="00B82649"/>
    <w:rsid w:val="00B82650"/>
    <w:rsid w:val="00B86212"/>
    <w:rsid w:val="00B86BCB"/>
    <w:rsid w:val="00B87159"/>
    <w:rsid w:val="00B90A7C"/>
    <w:rsid w:val="00B92BE8"/>
    <w:rsid w:val="00B92C34"/>
    <w:rsid w:val="00B92D16"/>
    <w:rsid w:val="00B935A1"/>
    <w:rsid w:val="00B93B72"/>
    <w:rsid w:val="00B93CD2"/>
    <w:rsid w:val="00B9463D"/>
    <w:rsid w:val="00B957DC"/>
    <w:rsid w:val="00B958F7"/>
    <w:rsid w:val="00B95F4B"/>
    <w:rsid w:val="00B9625E"/>
    <w:rsid w:val="00BA1131"/>
    <w:rsid w:val="00BA44F0"/>
    <w:rsid w:val="00BA4EBB"/>
    <w:rsid w:val="00BA4FE4"/>
    <w:rsid w:val="00BA604E"/>
    <w:rsid w:val="00BA6E97"/>
    <w:rsid w:val="00BA6F52"/>
    <w:rsid w:val="00BA6F72"/>
    <w:rsid w:val="00BA7FF3"/>
    <w:rsid w:val="00BB1C80"/>
    <w:rsid w:val="00BB216B"/>
    <w:rsid w:val="00BB2BD6"/>
    <w:rsid w:val="00BB6BDD"/>
    <w:rsid w:val="00BB72EB"/>
    <w:rsid w:val="00BB769C"/>
    <w:rsid w:val="00BC05EC"/>
    <w:rsid w:val="00BC0BB5"/>
    <w:rsid w:val="00BC471B"/>
    <w:rsid w:val="00BD0877"/>
    <w:rsid w:val="00BD11E8"/>
    <w:rsid w:val="00BD171A"/>
    <w:rsid w:val="00BD246A"/>
    <w:rsid w:val="00BD2684"/>
    <w:rsid w:val="00BD26B9"/>
    <w:rsid w:val="00BD361F"/>
    <w:rsid w:val="00BD38AC"/>
    <w:rsid w:val="00BD4454"/>
    <w:rsid w:val="00BD4B13"/>
    <w:rsid w:val="00BD68FB"/>
    <w:rsid w:val="00BD6FAD"/>
    <w:rsid w:val="00BD72E4"/>
    <w:rsid w:val="00BE0112"/>
    <w:rsid w:val="00BE013A"/>
    <w:rsid w:val="00BE1741"/>
    <w:rsid w:val="00BE1774"/>
    <w:rsid w:val="00BE278A"/>
    <w:rsid w:val="00BE3AA9"/>
    <w:rsid w:val="00BE5835"/>
    <w:rsid w:val="00BE593B"/>
    <w:rsid w:val="00BE59DD"/>
    <w:rsid w:val="00BE5FD7"/>
    <w:rsid w:val="00BE72F0"/>
    <w:rsid w:val="00BE77EC"/>
    <w:rsid w:val="00BF0F34"/>
    <w:rsid w:val="00BF204B"/>
    <w:rsid w:val="00BF2E1A"/>
    <w:rsid w:val="00BF351D"/>
    <w:rsid w:val="00BF370D"/>
    <w:rsid w:val="00BF5932"/>
    <w:rsid w:val="00BF5FE2"/>
    <w:rsid w:val="00BF6028"/>
    <w:rsid w:val="00BF793F"/>
    <w:rsid w:val="00BF7F66"/>
    <w:rsid w:val="00BF7FC5"/>
    <w:rsid w:val="00C00B3D"/>
    <w:rsid w:val="00C03591"/>
    <w:rsid w:val="00C05C75"/>
    <w:rsid w:val="00C06DDB"/>
    <w:rsid w:val="00C07FAE"/>
    <w:rsid w:val="00C11582"/>
    <w:rsid w:val="00C11755"/>
    <w:rsid w:val="00C1208F"/>
    <w:rsid w:val="00C122CC"/>
    <w:rsid w:val="00C1259E"/>
    <w:rsid w:val="00C127B9"/>
    <w:rsid w:val="00C13980"/>
    <w:rsid w:val="00C13DB1"/>
    <w:rsid w:val="00C167AB"/>
    <w:rsid w:val="00C207F5"/>
    <w:rsid w:val="00C20CF2"/>
    <w:rsid w:val="00C2201E"/>
    <w:rsid w:val="00C23B0A"/>
    <w:rsid w:val="00C23FD0"/>
    <w:rsid w:val="00C24CCC"/>
    <w:rsid w:val="00C26383"/>
    <w:rsid w:val="00C2671B"/>
    <w:rsid w:val="00C2748B"/>
    <w:rsid w:val="00C314CB"/>
    <w:rsid w:val="00C31DEC"/>
    <w:rsid w:val="00C32191"/>
    <w:rsid w:val="00C34EFC"/>
    <w:rsid w:val="00C35203"/>
    <w:rsid w:val="00C3598A"/>
    <w:rsid w:val="00C36306"/>
    <w:rsid w:val="00C36431"/>
    <w:rsid w:val="00C364E6"/>
    <w:rsid w:val="00C37568"/>
    <w:rsid w:val="00C40A64"/>
    <w:rsid w:val="00C41A92"/>
    <w:rsid w:val="00C41D0A"/>
    <w:rsid w:val="00C41F66"/>
    <w:rsid w:val="00C42202"/>
    <w:rsid w:val="00C42FF8"/>
    <w:rsid w:val="00C44A7D"/>
    <w:rsid w:val="00C45C04"/>
    <w:rsid w:val="00C46FA8"/>
    <w:rsid w:val="00C4713F"/>
    <w:rsid w:val="00C47F95"/>
    <w:rsid w:val="00C50571"/>
    <w:rsid w:val="00C5154A"/>
    <w:rsid w:val="00C51A63"/>
    <w:rsid w:val="00C52D19"/>
    <w:rsid w:val="00C5499B"/>
    <w:rsid w:val="00C54EAA"/>
    <w:rsid w:val="00C56778"/>
    <w:rsid w:val="00C57127"/>
    <w:rsid w:val="00C57531"/>
    <w:rsid w:val="00C6260E"/>
    <w:rsid w:val="00C6286C"/>
    <w:rsid w:val="00C62F23"/>
    <w:rsid w:val="00C6347E"/>
    <w:rsid w:val="00C637E8"/>
    <w:rsid w:val="00C64A95"/>
    <w:rsid w:val="00C6525C"/>
    <w:rsid w:val="00C6635A"/>
    <w:rsid w:val="00C67245"/>
    <w:rsid w:val="00C67D07"/>
    <w:rsid w:val="00C73BC6"/>
    <w:rsid w:val="00C74059"/>
    <w:rsid w:val="00C74FE6"/>
    <w:rsid w:val="00C75765"/>
    <w:rsid w:val="00C76324"/>
    <w:rsid w:val="00C76F7D"/>
    <w:rsid w:val="00C77860"/>
    <w:rsid w:val="00C853DE"/>
    <w:rsid w:val="00C86794"/>
    <w:rsid w:val="00C90C36"/>
    <w:rsid w:val="00C90EBA"/>
    <w:rsid w:val="00C932FB"/>
    <w:rsid w:val="00C936BA"/>
    <w:rsid w:val="00C94F32"/>
    <w:rsid w:val="00C960FB"/>
    <w:rsid w:val="00C9620D"/>
    <w:rsid w:val="00C9690A"/>
    <w:rsid w:val="00C97227"/>
    <w:rsid w:val="00C97477"/>
    <w:rsid w:val="00C97612"/>
    <w:rsid w:val="00C97645"/>
    <w:rsid w:val="00CA1682"/>
    <w:rsid w:val="00CA21F5"/>
    <w:rsid w:val="00CA2A74"/>
    <w:rsid w:val="00CA35B9"/>
    <w:rsid w:val="00CA62E7"/>
    <w:rsid w:val="00CA75A1"/>
    <w:rsid w:val="00CA7A7B"/>
    <w:rsid w:val="00CB1072"/>
    <w:rsid w:val="00CB18F5"/>
    <w:rsid w:val="00CB4265"/>
    <w:rsid w:val="00CB67A7"/>
    <w:rsid w:val="00CB7B81"/>
    <w:rsid w:val="00CB7B93"/>
    <w:rsid w:val="00CC0FE1"/>
    <w:rsid w:val="00CC1E67"/>
    <w:rsid w:val="00CD089C"/>
    <w:rsid w:val="00CD0E76"/>
    <w:rsid w:val="00CD19B6"/>
    <w:rsid w:val="00CD1E95"/>
    <w:rsid w:val="00CD20FC"/>
    <w:rsid w:val="00CD27D9"/>
    <w:rsid w:val="00CD6C5A"/>
    <w:rsid w:val="00CE00B9"/>
    <w:rsid w:val="00CE0A35"/>
    <w:rsid w:val="00CE166E"/>
    <w:rsid w:val="00CE212B"/>
    <w:rsid w:val="00CE3012"/>
    <w:rsid w:val="00CE364E"/>
    <w:rsid w:val="00CE37CA"/>
    <w:rsid w:val="00CE4540"/>
    <w:rsid w:val="00CE4F32"/>
    <w:rsid w:val="00CE57FC"/>
    <w:rsid w:val="00CE5D9B"/>
    <w:rsid w:val="00CE5F47"/>
    <w:rsid w:val="00CF3AAA"/>
    <w:rsid w:val="00CF3C95"/>
    <w:rsid w:val="00CF4554"/>
    <w:rsid w:val="00D001B4"/>
    <w:rsid w:val="00D00EC5"/>
    <w:rsid w:val="00D01237"/>
    <w:rsid w:val="00D016FE"/>
    <w:rsid w:val="00D01866"/>
    <w:rsid w:val="00D024C8"/>
    <w:rsid w:val="00D02903"/>
    <w:rsid w:val="00D05512"/>
    <w:rsid w:val="00D05518"/>
    <w:rsid w:val="00D0600C"/>
    <w:rsid w:val="00D06221"/>
    <w:rsid w:val="00D1006B"/>
    <w:rsid w:val="00D1092A"/>
    <w:rsid w:val="00D131A0"/>
    <w:rsid w:val="00D13CB7"/>
    <w:rsid w:val="00D1697B"/>
    <w:rsid w:val="00D17308"/>
    <w:rsid w:val="00D17828"/>
    <w:rsid w:val="00D2191F"/>
    <w:rsid w:val="00D22A8A"/>
    <w:rsid w:val="00D23E35"/>
    <w:rsid w:val="00D24B98"/>
    <w:rsid w:val="00D2650F"/>
    <w:rsid w:val="00D27C67"/>
    <w:rsid w:val="00D3273D"/>
    <w:rsid w:val="00D32937"/>
    <w:rsid w:val="00D32E43"/>
    <w:rsid w:val="00D34027"/>
    <w:rsid w:val="00D348A1"/>
    <w:rsid w:val="00D3666C"/>
    <w:rsid w:val="00D36C60"/>
    <w:rsid w:val="00D36D43"/>
    <w:rsid w:val="00D371D7"/>
    <w:rsid w:val="00D404FB"/>
    <w:rsid w:val="00D41689"/>
    <w:rsid w:val="00D41B69"/>
    <w:rsid w:val="00D41F5F"/>
    <w:rsid w:val="00D43FAE"/>
    <w:rsid w:val="00D44154"/>
    <w:rsid w:val="00D4429F"/>
    <w:rsid w:val="00D444DF"/>
    <w:rsid w:val="00D44EE3"/>
    <w:rsid w:val="00D45436"/>
    <w:rsid w:val="00D46688"/>
    <w:rsid w:val="00D4716F"/>
    <w:rsid w:val="00D473A0"/>
    <w:rsid w:val="00D477AD"/>
    <w:rsid w:val="00D47B02"/>
    <w:rsid w:val="00D47C0C"/>
    <w:rsid w:val="00D5175F"/>
    <w:rsid w:val="00D5252F"/>
    <w:rsid w:val="00D539A4"/>
    <w:rsid w:val="00D53BD1"/>
    <w:rsid w:val="00D57A7E"/>
    <w:rsid w:val="00D600FB"/>
    <w:rsid w:val="00D60171"/>
    <w:rsid w:val="00D6033E"/>
    <w:rsid w:val="00D611B0"/>
    <w:rsid w:val="00D6158B"/>
    <w:rsid w:val="00D6179E"/>
    <w:rsid w:val="00D61CA0"/>
    <w:rsid w:val="00D61F7C"/>
    <w:rsid w:val="00D6261F"/>
    <w:rsid w:val="00D65BEF"/>
    <w:rsid w:val="00D6728B"/>
    <w:rsid w:val="00D6729E"/>
    <w:rsid w:val="00D672DC"/>
    <w:rsid w:val="00D679BA"/>
    <w:rsid w:val="00D700F9"/>
    <w:rsid w:val="00D70C5D"/>
    <w:rsid w:val="00D70CC7"/>
    <w:rsid w:val="00D71A33"/>
    <w:rsid w:val="00D71C66"/>
    <w:rsid w:val="00D72082"/>
    <w:rsid w:val="00D722F2"/>
    <w:rsid w:val="00D72F32"/>
    <w:rsid w:val="00D73138"/>
    <w:rsid w:val="00D7348F"/>
    <w:rsid w:val="00D73C44"/>
    <w:rsid w:val="00D753CC"/>
    <w:rsid w:val="00D7561F"/>
    <w:rsid w:val="00D757DC"/>
    <w:rsid w:val="00D75AEC"/>
    <w:rsid w:val="00D75EE9"/>
    <w:rsid w:val="00D766CC"/>
    <w:rsid w:val="00D7693F"/>
    <w:rsid w:val="00D77AD2"/>
    <w:rsid w:val="00D8267E"/>
    <w:rsid w:val="00D83B2E"/>
    <w:rsid w:val="00D84630"/>
    <w:rsid w:val="00D84666"/>
    <w:rsid w:val="00D87892"/>
    <w:rsid w:val="00D90717"/>
    <w:rsid w:val="00D90A9D"/>
    <w:rsid w:val="00D90B4C"/>
    <w:rsid w:val="00D90C75"/>
    <w:rsid w:val="00D92170"/>
    <w:rsid w:val="00D96BAB"/>
    <w:rsid w:val="00D97784"/>
    <w:rsid w:val="00D97D04"/>
    <w:rsid w:val="00DA197E"/>
    <w:rsid w:val="00DA1A02"/>
    <w:rsid w:val="00DA1D3B"/>
    <w:rsid w:val="00DA430B"/>
    <w:rsid w:val="00DA6A62"/>
    <w:rsid w:val="00DA7127"/>
    <w:rsid w:val="00DB16A8"/>
    <w:rsid w:val="00DB4D6A"/>
    <w:rsid w:val="00DB6808"/>
    <w:rsid w:val="00DC09EF"/>
    <w:rsid w:val="00DC1699"/>
    <w:rsid w:val="00DC2CAF"/>
    <w:rsid w:val="00DC472C"/>
    <w:rsid w:val="00DC4804"/>
    <w:rsid w:val="00DC5028"/>
    <w:rsid w:val="00DD095D"/>
    <w:rsid w:val="00DD0B32"/>
    <w:rsid w:val="00DD1412"/>
    <w:rsid w:val="00DD158F"/>
    <w:rsid w:val="00DD36C2"/>
    <w:rsid w:val="00DD4ABF"/>
    <w:rsid w:val="00DD5B8C"/>
    <w:rsid w:val="00DD5C89"/>
    <w:rsid w:val="00DD6126"/>
    <w:rsid w:val="00DD6F7A"/>
    <w:rsid w:val="00DE2D67"/>
    <w:rsid w:val="00DE5622"/>
    <w:rsid w:val="00DE620D"/>
    <w:rsid w:val="00DF0033"/>
    <w:rsid w:val="00DF0401"/>
    <w:rsid w:val="00DF09D3"/>
    <w:rsid w:val="00DF219F"/>
    <w:rsid w:val="00DF2467"/>
    <w:rsid w:val="00DF261C"/>
    <w:rsid w:val="00DF29AA"/>
    <w:rsid w:val="00DF387C"/>
    <w:rsid w:val="00DF4AB7"/>
    <w:rsid w:val="00DF5190"/>
    <w:rsid w:val="00DF59D6"/>
    <w:rsid w:val="00DF638F"/>
    <w:rsid w:val="00DF70C9"/>
    <w:rsid w:val="00E0031A"/>
    <w:rsid w:val="00E02A7C"/>
    <w:rsid w:val="00E02AE6"/>
    <w:rsid w:val="00E02BCF"/>
    <w:rsid w:val="00E02EFB"/>
    <w:rsid w:val="00E03A88"/>
    <w:rsid w:val="00E04932"/>
    <w:rsid w:val="00E04D46"/>
    <w:rsid w:val="00E05197"/>
    <w:rsid w:val="00E05230"/>
    <w:rsid w:val="00E05B1E"/>
    <w:rsid w:val="00E106E0"/>
    <w:rsid w:val="00E107BC"/>
    <w:rsid w:val="00E11D8D"/>
    <w:rsid w:val="00E12C83"/>
    <w:rsid w:val="00E1318F"/>
    <w:rsid w:val="00E13FEE"/>
    <w:rsid w:val="00E1556E"/>
    <w:rsid w:val="00E156C7"/>
    <w:rsid w:val="00E16B7A"/>
    <w:rsid w:val="00E17DCA"/>
    <w:rsid w:val="00E20C54"/>
    <w:rsid w:val="00E20D4D"/>
    <w:rsid w:val="00E210B2"/>
    <w:rsid w:val="00E23868"/>
    <w:rsid w:val="00E23952"/>
    <w:rsid w:val="00E24713"/>
    <w:rsid w:val="00E25C3E"/>
    <w:rsid w:val="00E26C68"/>
    <w:rsid w:val="00E27365"/>
    <w:rsid w:val="00E302D3"/>
    <w:rsid w:val="00E30858"/>
    <w:rsid w:val="00E31275"/>
    <w:rsid w:val="00E33D07"/>
    <w:rsid w:val="00E35715"/>
    <w:rsid w:val="00E35AF3"/>
    <w:rsid w:val="00E361DE"/>
    <w:rsid w:val="00E36B96"/>
    <w:rsid w:val="00E371A0"/>
    <w:rsid w:val="00E37449"/>
    <w:rsid w:val="00E37777"/>
    <w:rsid w:val="00E37921"/>
    <w:rsid w:val="00E37DFC"/>
    <w:rsid w:val="00E40504"/>
    <w:rsid w:val="00E4104F"/>
    <w:rsid w:val="00E41389"/>
    <w:rsid w:val="00E41793"/>
    <w:rsid w:val="00E43071"/>
    <w:rsid w:val="00E4330F"/>
    <w:rsid w:val="00E43B47"/>
    <w:rsid w:val="00E43CD7"/>
    <w:rsid w:val="00E443A7"/>
    <w:rsid w:val="00E455E7"/>
    <w:rsid w:val="00E47790"/>
    <w:rsid w:val="00E47D69"/>
    <w:rsid w:val="00E50335"/>
    <w:rsid w:val="00E51151"/>
    <w:rsid w:val="00E51755"/>
    <w:rsid w:val="00E51C6E"/>
    <w:rsid w:val="00E525CB"/>
    <w:rsid w:val="00E5359F"/>
    <w:rsid w:val="00E54060"/>
    <w:rsid w:val="00E565BC"/>
    <w:rsid w:val="00E56C25"/>
    <w:rsid w:val="00E603A7"/>
    <w:rsid w:val="00E6042B"/>
    <w:rsid w:val="00E60915"/>
    <w:rsid w:val="00E621E6"/>
    <w:rsid w:val="00E63685"/>
    <w:rsid w:val="00E65312"/>
    <w:rsid w:val="00E65420"/>
    <w:rsid w:val="00E657F4"/>
    <w:rsid w:val="00E66098"/>
    <w:rsid w:val="00E67E72"/>
    <w:rsid w:val="00E70D64"/>
    <w:rsid w:val="00E70E7F"/>
    <w:rsid w:val="00E71919"/>
    <w:rsid w:val="00E72BA7"/>
    <w:rsid w:val="00E7357A"/>
    <w:rsid w:val="00E7398A"/>
    <w:rsid w:val="00E74B94"/>
    <w:rsid w:val="00E768A1"/>
    <w:rsid w:val="00E77174"/>
    <w:rsid w:val="00E820BC"/>
    <w:rsid w:val="00E8354A"/>
    <w:rsid w:val="00E841EA"/>
    <w:rsid w:val="00E8439C"/>
    <w:rsid w:val="00E84C5E"/>
    <w:rsid w:val="00E86D3B"/>
    <w:rsid w:val="00E8701B"/>
    <w:rsid w:val="00E91EBA"/>
    <w:rsid w:val="00E922B2"/>
    <w:rsid w:val="00E93BAC"/>
    <w:rsid w:val="00E93C46"/>
    <w:rsid w:val="00E9418F"/>
    <w:rsid w:val="00E955A1"/>
    <w:rsid w:val="00E95D66"/>
    <w:rsid w:val="00E961BA"/>
    <w:rsid w:val="00E96682"/>
    <w:rsid w:val="00E96A06"/>
    <w:rsid w:val="00E970F0"/>
    <w:rsid w:val="00E9786C"/>
    <w:rsid w:val="00E97B68"/>
    <w:rsid w:val="00EA4C68"/>
    <w:rsid w:val="00EA5DA0"/>
    <w:rsid w:val="00EA60C6"/>
    <w:rsid w:val="00EA7599"/>
    <w:rsid w:val="00EA7924"/>
    <w:rsid w:val="00EB023A"/>
    <w:rsid w:val="00EB0C60"/>
    <w:rsid w:val="00EB18A6"/>
    <w:rsid w:val="00EB19BD"/>
    <w:rsid w:val="00EB257E"/>
    <w:rsid w:val="00EB471E"/>
    <w:rsid w:val="00EB6182"/>
    <w:rsid w:val="00EB72F8"/>
    <w:rsid w:val="00EC01B7"/>
    <w:rsid w:val="00EC0B8B"/>
    <w:rsid w:val="00EC101F"/>
    <w:rsid w:val="00EC1A92"/>
    <w:rsid w:val="00EC21BB"/>
    <w:rsid w:val="00EC266C"/>
    <w:rsid w:val="00EC2A35"/>
    <w:rsid w:val="00EC5036"/>
    <w:rsid w:val="00EC5814"/>
    <w:rsid w:val="00EC5AE1"/>
    <w:rsid w:val="00EC5DDF"/>
    <w:rsid w:val="00EC76C1"/>
    <w:rsid w:val="00EC7B0D"/>
    <w:rsid w:val="00ED21CE"/>
    <w:rsid w:val="00ED29A6"/>
    <w:rsid w:val="00ED2EB0"/>
    <w:rsid w:val="00ED3A73"/>
    <w:rsid w:val="00ED3B0F"/>
    <w:rsid w:val="00ED6876"/>
    <w:rsid w:val="00ED6C33"/>
    <w:rsid w:val="00ED6D28"/>
    <w:rsid w:val="00ED7487"/>
    <w:rsid w:val="00ED7980"/>
    <w:rsid w:val="00ED7AF4"/>
    <w:rsid w:val="00EE1641"/>
    <w:rsid w:val="00EE1BFE"/>
    <w:rsid w:val="00EE1C36"/>
    <w:rsid w:val="00EE2529"/>
    <w:rsid w:val="00EE30A0"/>
    <w:rsid w:val="00EE30C8"/>
    <w:rsid w:val="00EE36F0"/>
    <w:rsid w:val="00EE591A"/>
    <w:rsid w:val="00EE702D"/>
    <w:rsid w:val="00EE7151"/>
    <w:rsid w:val="00EE72CF"/>
    <w:rsid w:val="00EF04B0"/>
    <w:rsid w:val="00EF0B2A"/>
    <w:rsid w:val="00EF0C80"/>
    <w:rsid w:val="00EF152B"/>
    <w:rsid w:val="00EF2D61"/>
    <w:rsid w:val="00EF2D6A"/>
    <w:rsid w:val="00EF6ECA"/>
    <w:rsid w:val="00EF6F48"/>
    <w:rsid w:val="00F01BA0"/>
    <w:rsid w:val="00F02910"/>
    <w:rsid w:val="00F03017"/>
    <w:rsid w:val="00F0657A"/>
    <w:rsid w:val="00F0769E"/>
    <w:rsid w:val="00F0797A"/>
    <w:rsid w:val="00F10054"/>
    <w:rsid w:val="00F107D8"/>
    <w:rsid w:val="00F1085E"/>
    <w:rsid w:val="00F1150E"/>
    <w:rsid w:val="00F11F3F"/>
    <w:rsid w:val="00F12783"/>
    <w:rsid w:val="00F1357E"/>
    <w:rsid w:val="00F13E50"/>
    <w:rsid w:val="00F1444C"/>
    <w:rsid w:val="00F15CC6"/>
    <w:rsid w:val="00F16663"/>
    <w:rsid w:val="00F17336"/>
    <w:rsid w:val="00F17BDB"/>
    <w:rsid w:val="00F2186D"/>
    <w:rsid w:val="00F21A7A"/>
    <w:rsid w:val="00F21B14"/>
    <w:rsid w:val="00F21EDB"/>
    <w:rsid w:val="00F22884"/>
    <w:rsid w:val="00F23B3F"/>
    <w:rsid w:val="00F23F75"/>
    <w:rsid w:val="00F25CCA"/>
    <w:rsid w:val="00F25E7A"/>
    <w:rsid w:val="00F26372"/>
    <w:rsid w:val="00F305BF"/>
    <w:rsid w:val="00F30B6F"/>
    <w:rsid w:val="00F318F7"/>
    <w:rsid w:val="00F31933"/>
    <w:rsid w:val="00F31B98"/>
    <w:rsid w:val="00F31D44"/>
    <w:rsid w:val="00F32650"/>
    <w:rsid w:val="00F32CE6"/>
    <w:rsid w:val="00F33304"/>
    <w:rsid w:val="00F3384D"/>
    <w:rsid w:val="00F346F0"/>
    <w:rsid w:val="00F35388"/>
    <w:rsid w:val="00F36367"/>
    <w:rsid w:val="00F40B4C"/>
    <w:rsid w:val="00F42DF5"/>
    <w:rsid w:val="00F430C9"/>
    <w:rsid w:val="00F44150"/>
    <w:rsid w:val="00F44811"/>
    <w:rsid w:val="00F44F6F"/>
    <w:rsid w:val="00F45B05"/>
    <w:rsid w:val="00F52F5E"/>
    <w:rsid w:val="00F53377"/>
    <w:rsid w:val="00F53863"/>
    <w:rsid w:val="00F53F38"/>
    <w:rsid w:val="00F56F51"/>
    <w:rsid w:val="00F577B2"/>
    <w:rsid w:val="00F57D30"/>
    <w:rsid w:val="00F60A45"/>
    <w:rsid w:val="00F6164B"/>
    <w:rsid w:val="00F63233"/>
    <w:rsid w:val="00F659A8"/>
    <w:rsid w:val="00F66366"/>
    <w:rsid w:val="00F664D2"/>
    <w:rsid w:val="00F677D8"/>
    <w:rsid w:val="00F67ED6"/>
    <w:rsid w:val="00F7127A"/>
    <w:rsid w:val="00F713C2"/>
    <w:rsid w:val="00F71739"/>
    <w:rsid w:val="00F75C31"/>
    <w:rsid w:val="00F80735"/>
    <w:rsid w:val="00F807EE"/>
    <w:rsid w:val="00F80ADA"/>
    <w:rsid w:val="00F825E0"/>
    <w:rsid w:val="00F83374"/>
    <w:rsid w:val="00F83AB6"/>
    <w:rsid w:val="00F83FC5"/>
    <w:rsid w:val="00F84409"/>
    <w:rsid w:val="00F86C85"/>
    <w:rsid w:val="00F86D33"/>
    <w:rsid w:val="00F87D0D"/>
    <w:rsid w:val="00F91017"/>
    <w:rsid w:val="00F945A0"/>
    <w:rsid w:val="00F9573F"/>
    <w:rsid w:val="00F95C92"/>
    <w:rsid w:val="00F966B3"/>
    <w:rsid w:val="00F96E2A"/>
    <w:rsid w:val="00FA06CA"/>
    <w:rsid w:val="00FA2887"/>
    <w:rsid w:val="00FA2AED"/>
    <w:rsid w:val="00FA40DF"/>
    <w:rsid w:val="00FA5EFA"/>
    <w:rsid w:val="00FA6412"/>
    <w:rsid w:val="00FA6614"/>
    <w:rsid w:val="00FA71FE"/>
    <w:rsid w:val="00FA73BB"/>
    <w:rsid w:val="00FA7E99"/>
    <w:rsid w:val="00FB0F75"/>
    <w:rsid w:val="00FB14BC"/>
    <w:rsid w:val="00FB19E4"/>
    <w:rsid w:val="00FB2888"/>
    <w:rsid w:val="00FB2F5B"/>
    <w:rsid w:val="00FB36EE"/>
    <w:rsid w:val="00FB3BCE"/>
    <w:rsid w:val="00FB421C"/>
    <w:rsid w:val="00FB54BF"/>
    <w:rsid w:val="00FB565B"/>
    <w:rsid w:val="00FB6B67"/>
    <w:rsid w:val="00FB7418"/>
    <w:rsid w:val="00FB7EF4"/>
    <w:rsid w:val="00FC1F1B"/>
    <w:rsid w:val="00FC38DA"/>
    <w:rsid w:val="00FC6C04"/>
    <w:rsid w:val="00FC7BF6"/>
    <w:rsid w:val="00FD0271"/>
    <w:rsid w:val="00FD05BF"/>
    <w:rsid w:val="00FD113C"/>
    <w:rsid w:val="00FD1CD7"/>
    <w:rsid w:val="00FD2635"/>
    <w:rsid w:val="00FD58B2"/>
    <w:rsid w:val="00FD5BEF"/>
    <w:rsid w:val="00FD6634"/>
    <w:rsid w:val="00FD73E7"/>
    <w:rsid w:val="00FD75EF"/>
    <w:rsid w:val="00FD7A97"/>
    <w:rsid w:val="00FD7B80"/>
    <w:rsid w:val="00FE18D3"/>
    <w:rsid w:val="00FE3496"/>
    <w:rsid w:val="00FE4348"/>
    <w:rsid w:val="00FE4751"/>
    <w:rsid w:val="00FE595C"/>
    <w:rsid w:val="00FE5CA5"/>
    <w:rsid w:val="00FE6856"/>
    <w:rsid w:val="00FE6BAD"/>
    <w:rsid w:val="00FE7EDC"/>
    <w:rsid w:val="00FF117C"/>
    <w:rsid w:val="00FF252A"/>
    <w:rsid w:val="00FF3F37"/>
    <w:rsid w:val="00FF40A2"/>
    <w:rsid w:val="00FF4982"/>
    <w:rsid w:val="00FF68A6"/>
    <w:rsid w:val="00FF748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6CB7303"/>
  <w15:docId w15:val="{0DEFE994-E049-450F-80D8-3EF9B27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Textbubliny">
    <w:name w:val="Balloon Text"/>
    <w:basedOn w:val="Normln"/>
    <w:semiHidden/>
    <w:rsid w:val="002F0ED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F2590"/>
    <w:rPr>
      <w:sz w:val="24"/>
      <w:szCs w:val="24"/>
      <w:lang w:val="cs-CZ" w:eastAsia="cs-CZ" w:bidi="ar-SA"/>
    </w:rPr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B47765"/>
    <w:pPr>
      <w:ind w:left="720"/>
    </w:pPr>
    <w:rPr>
      <w:rFonts w:eastAsia="Calibri"/>
    </w:rPr>
  </w:style>
  <w:style w:type="character" w:customStyle="1" w:styleId="Nadpis2Char">
    <w:name w:val="Nadpis 2 Char"/>
    <w:link w:val="Nadpis2"/>
    <w:rsid w:val="006C175F"/>
    <w:rPr>
      <w:b/>
      <w:bCs/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C175F"/>
    <w:rPr>
      <w:sz w:val="16"/>
      <w:szCs w:val="16"/>
    </w:rPr>
  </w:style>
  <w:style w:type="paragraph" w:styleId="Textkomente">
    <w:name w:val="annotation text"/>
    <w:basedOn w:val="Normln"/>
    <w:semiHidden/>
    <w:rsid w:val="006C17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175F"/>
    <w:rPr>
      <w:b/>
      <w:bCs/>
    </w:rPr>
  </w:style>
  <w:style w:type="paragraph" w:styleId="Revize">
    <w:name w:val="Revision"/>
    <w:hidden/>
    <w:uiPriority w:val="99"/>
    <w:semiHidden/>
    <w:rsid w:val="007631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7606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F6E52"/>
    <w:rPr>
      <w:sz w:val="24"/>
      <w:szCs w:val="24"/>
    </w:rPr>
  </w:style>
  <w:style w:type="character" w:styleId="Hypertextovodkaz">
    <w:name w:val="Hyperlink"/>
    <w:rsid w:val="00631068"/>
    <w:rPr>
      <w:color w:val="0000FF"/>
      <w:u w:val="single"/>
    </w:rPr>
  </w:style>
  <w:style w:type="character" w:styleId="Sledovanodkaz">
    <w:name w:val="FollowedHyperlink"/>
    <w:basedOn w:val="Standardnpsmoodstavce"/>
    <w:rsid w:val="00006AC6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663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663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tavecseseznamemChar">
    <w:name w:val="Odstavec se seznamem Char"/>
    <w:aliases w:val="Nad Char,Odstavec_muj Char,Název grafu Char,nad 1 Char"/>
    <w:basedOn w:val="Standardnpsmoodstavce"/>
    <w:link w:val="Odstavecseseznamem"/>
    <w:uiPriority w:val="34"/>
    <w:locked/>
    <w:rsid w:val="00B4256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B497-0705-4A1A-8DAC-3E5156CA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3654</Words>
  <Characters>20403</Characters>
  <Application>Microsoft Office Word</Application>
  <DocSecurity>0</DocSecurity>
  <Lines>170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Důvodová zpráva :</vt:lpstr>
      <vt:lpstr>Důvodová zpráva :</vt:lpstr>
    </vt:vector>
  </TitlesOfParts>
  <Company>MMO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:</dc:title>
  <dc:creator>oer26</dc:creator>
  <cp:lastModifiedBy>Kateřina Ondrová</cp:lastModifiedBy>
  <cp:revision>122</cp:revision>
  <cp:lastPrinted>2020-02-10T09:13:00Z</cp:lastPrinted>
  <dcterms:created xsi:type="dcterms:W3CDTF">2020-02-10T10:12:00Z</dcterms:created>
  <dcterms:modified xsi:type="dcterms:W3CDTF">2020-02-18T15:52:00Z</dcterms:modified>
</cp:coreProperties>
</file>