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B" w:rsidRPr="00A1036B" w:rsidRDefault="00A1036B" w:rsidP="00A1036B">
      <w:pPr>
        <w:jc w:val="both"/>
        <w:rPr>
          <w:rFonts w:cs="Times New Roman"/>
          <w:b/>
          <w:sz w:val="24"/>
          <w:szCs w:val="24"/>
        </w:rPr>
      </w:pPr>
      <w:r w:rsidRPr="00A1036B">
        <w:rPr>
          <w:rFonts w:cs="Times New Roman"/>
          <w:b/>
          <w:sz w:val="24"/>
          <w:szCs w:val="24"/>
        </w:rPr>
        <w:t>STANDARD 8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A1036B" w:rsidRPr="00A1036B" w:rsidTr="002B3ADE">
        <w:trPr>
          <w:trHeight w:val="645"/>
        </w:trPr>
        <w:tc>
          <w:tcPr>
            <w:tcW w:w="9105" w:type="dxa"/>
          </w:tcPr>
          <w:p w:rsidR="00A1036B" w:rsidRDefault="00A1036B" w:rsidP="00A1036B">
            <w:pPr>
              <w:spacing w:after="0"/>
              <w:ind w:left="52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t xml:space="preserve">8a </w:t>
            </w:r>
          </w:p>
          <w:p w:rsidR="00A1036B" w:rsidRPr="00A1036B" w:rsidRDefault="00A1036B" w:rsidP="00A1036B">
            <w:pPr>
              <w:spacing w:after="0"/>
              <w:ind w:left="52"/>
              <w:jc w:val="both"/>
              <w:rPr>
                <w:b/>
                <w:sz w:val="24"/>
                <w:szCs w:val="24"/>
              </w:rPr>
            </w:pPr>
          </w:p>
          <w:p w:rsidR="00A1036B" w:rsidRDefault="00A1036B" w:rsidP="00A1036B">
            <w:pPr>
              <w:spacing w:after="0"/>
              <w:ind w:left="52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t xml:space="preserve">Orgán </w:t>
            </w:r>
            <w:proofErr w:type="gramStart"/>
            <w:r w:rsidRPr="00A1036B">
              <w:rPr>
                <w:b/>
                <w:sz w:val="24"/>
                <w:szCs w:val="24"/>
              </w:rPr>
              <w:t>SPOD</w:t>
            </w:r>
            <w:proofErr w:type="gramEnd"/>
            <w:r w:rsidRPr="00A1036B">
              <w:rPr>
                <w:b/>
                <w:sz w:val="24"/>
                <w:szCs w:val="24"/>
              </w:rPr>
              <w:t xml:space="preserve"> jednotně </w:t>
            </w:r>
            <w:proofErr w:type="gramStart"/>
            <w:r w:rsidRPr="00A1036B">
              <w:rPr>
                <w:b/>
                <w:sz w:val="24"/>
                <w:szCs w:val="24"/>
              </w:rPr>
              <w:t>postupuje</w:t>
            </w:r>
            <w:proofErr w:type="gramEnd"/>
            <w:r w:rsidRPr="00A1036B">
              <w:rPr>
                <w:b/>
                <w:sz w:val="24"/>
                <w:szCs w:val="24"/>
              </w:rPr>
              <w:t xml:space="preserve"> při přijetí oznámení případu a jeho evidenci.</w:t>
            </w:r>
          </w:p>
          <w:p w:rsidR="00A1036B" w:rsidRPr="00A1036B" w:rsidRDefault="00A1036B" w:rsidP="00A1036B">
            <w:pPr>
              <w:spacing w:after="0"/>
              <w:ind w:left="5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</w:p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>Cíle kritéria:</w:t>
      </w:r>
    </w:p>
    <w:p w:rsidR="00A1036B" w:rsidRPr="00A1036B" w:rsidRDefault="00A1036B" w:rsidP="00A1036B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jednotný postup při evidenci a přidělení případu, včetně uplatňování stanovených lhůt</w:t>
      </w:r>
    </w:p>
    <w:p w:rsidR="00A1036B" w:rsidRPr="00A1036B" w:rsidRDefault="00A1036B" w:rsidP="00AA4D61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dostupnost informací pro zaměstnance o evidenci případu, pro osoby, které učinily oznámení o lhůtách a dalším postupu, pro klienty o důvodech evidence případu</w:t>
      </w:r>
    </w:p>
    <w:p w:rsidR="00A1036B" w:rsidRPr="00A1036B" w:rsidRDefault="00A1036B" w:rsidP="00A1036B">
      <w:pPr>
        <w:pStyle w:val="Odstavecseseznamem"/>
        <w:spacing w:after="0"/>
        <w:jc w:val="both"/>
        <w:rPr>
          <w:sz w:val="24"/>
          <w:szCs w:val="24"/>
        </w:rPr>
      </w:pPr>
    </w:p>
    <w:p w:rsidR="00A1036B" w:rsidRP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oznámení jsou přijímána písemně, e-mailem, telefonicky, ústně. U ústního podání je sepsán protokol dle § 18 správního řádu. Oznamovatel je ztotožněn nebo anonymní. Oznámení přijímá věcně a místně příslušný pracovník nebo určený zástupce. Anonymní podání posoudí vedoucí zaměstnanec, který je vyhodnotí a přidělí zodpovědnému zaměstnanci.</w:t>
      </w:r>
    </w:p>
    <w:p w:rsidR="00A1036B" w:rsidRDefault="00A1036B" w:rsidP="00A1036B">
      <w:pPr>
        <w:pStyle w:val="Odstavecseseznamem"/>
        <w:jc w:val="both"/>
        <w:rPr>
          <w:sz w:val="24"/>
          <w:szCs w:val="24"/>
        </w:rPr>
      </w:pPr>
    </w:p>
    <w:p w:rsidR="00A1036B" w:rsidRP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evidence probíhá prostřednictvím E spisu, je přiděleno číslo jednací, dokument</w:t>
      </w:r>
      <w:r w:rsidR="00D315C0">
        <w:rPr>
          <w:sz w:val="24"/>
          <w:szCs w:val="24"/>
        </w:rPr>
        <w:t>y</w:t>
      </w:r>
      <w:r w:rsidRPr="00A1036B">
        <w:rPr>
          <w:sz w:val="24"/>
          <w:szCs w:val="24"/>
        </w:rPr>
        <w:t xml:space="preserve">, </w:t>
      </w:r>
      <w:r w:rsidR="00D315C0">
        <w:rPr>
          <w:sz w:val="24"/>
          <w:szCs w:val="24"/>
        </w:rPr>
        <w:t>j</w:t>
      </w:r>
      <w:r w:rsidRPr="00A1036B">
        <w:rPr>
          <w:sz w:val="24"/>
          <w:szCs w:val="24"/>
        </w:rPr>
        <w:t>sou ihned předány na příslušného zaměstnance, případně m</w:t>
      </w:r>
      <w:r w:rsidR="00D315C0">
        <w:rPr>
          <w:sz w:val="24"/>
          <w:szCs w:val="24"/>
        </w:rPr>
        <w:t>í</w:t>
      </w:r>
      <w:r w:rsidRPr="00A1036B">
        <w:rPr>
          <w:sz w:val="24"/>
          <w:szCs w:val="24"/>
        </w:rPr>
        <w:t xml:space="preserve">stně příslušný OSPOD, </w:t>
      </w:r>
      <w:r w:rsidR="00D315C0">
        <w:rPr>
          <w:sz w:val="24"/>
          <w:szCs w:val="24"/>
        </w:rPr>
        <w:t xml:space="preserve">provede se </w:t>
      </w:r>
      <w:r w:rsidRPr="00A1036B">
        <w:rPr>
          <w:sz w:val="24"/>
          <w:szCs w:val="24"/>
        </w:rPr>
        <w:t xml:space="preserve">zařazení do evidence </w:t>
      </w:r>
      <w:proofErr w:type="spellStart"/>
      <w:r w:rsidRPr="00A1036B">
        <w:rPr>
          <w:sz w:val="24"/>
          <w:szCs w:val="24"/>
        </w:rPr>
        <w:t>Om</w:t>
      </w:r>
      <w:proofErr w:type="spellEnd"/>
      <w:r w:rsidRPr="00A1036B">
        <w:rPr>
          <w:sz w:val="24"/>
          <w:szCs w:val="24"/>
        </w:rPr>
        <w:t xml:space="preserve">, </w:t>
      </w:r>
      <w:proofErr w:type="spellStart"/>
      <w:r w:rsidRPr="00A1036B">
        <w:rPr>
          <w:sz w:val="24"/>
          <w:szCs w:val="24"/>
        </w:rPr>
        <w:t>Nom</w:t>
      </w:r>
      <w:proofErr w:type="spellEnd"/>
      <w:r w:rsidR="00A366C6">
        <w:rPr>
          <w:sz w:val="24"/>
          <w:szCs w:val="24"/>
        </w:rPr>
        <w:t>.</w:t>
      </w:r>
    </w:p>
    <w:p w:rsidR="00A1036B" w:rsidRDefault="00A1036B" w:rsidP="00A1036B">
      <w:pPr>
        <w:pStyle w:val="Odstavecseseznamem"/>
        <w:jc w:val="both"/>
        <w:rPr>
          <w:sz w:val="24"/>
          <w:szCs w:val="24"/>
        </w:rPr>
      </w:pPr>
    </w:p>
    <w:p w:rsidR="00A1036B" w:rsidRP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podnět je zařazen do evidence bezodkladně, v případě, že po oznámení následují dny pracovního volna, je podnět zařazen do evidence první následující pracovní den.</w:t>
      </w:r>
    </w:p>
    <w:p w:rsidR="00A1036B" w:rsidRDefault="00A1036B" w:rsidP="00A1036B">
      <w:pPr>
        <w:pStyle w:val="Odstavecseseznamem"/>
        <w:jc w:val="both"/>
        <w:rPr>
          <w:sz w:val="24"/>
          <w:szCs w:val="24"/>
        </w:rPr>
      </w:pPr>
    </w:p>
    <w:p w:rsidR="00A1036B" w:rsidRP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zaměstnanec, který čerpá dovolenou, je povinen zajistit za svou osobu zástup pro přijímání pošty (není prodleva). V e-spise je nastaven permanentní zástup mezi kolegy zabývajícími se stejnou agendou (postačuje alespoň jeden zástup). V e-mailu v době dovolené založit automatickou odpověď pisateli, kde bude uveden odkaz na zastupujícího kolegu v rámci nepřítomnosti zaměstnance. V případě nemoci zaměstnance zajistí zástup vedoucí zaměstnanec.</w:t>
      </w:r>
    </w:p>
    <w:p w:rsidR="00A1036B" w:rsidRDefault="00A1036B" w:rsidP="00A1036B">
      <w:pPr>
        <w:pStyle w:val="Odstavecseseznamem"/>
        <w:jc w:val="both"/>
        <w:rPr>
          <w:sz w:val="24"/>
          <w:szCs w:val="24"/>
        </w:rPr>
      </w:pPr>
    </w:p>
    <w:p w:rsidR="00A1036B" w:rsidRP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případ eviduje ten, kdo oznámení přijal, bezodkladně je přidělen koordinátorovi případu dle místní a věcné příslušnosti na OSPOD</w:t>
      </w:r>
    </w:p>
    <w:p w:rsidR="00A1036B" w:rsidRDefault="00A1036B" w:rsidP="00A1036B">
      <w:pPr>
        <w:pStyle w:val="Odstavecseseznamem"/>
        <w:jc w:val="both"/>
        <w:rPr>
          <w:sz w:val="24"/>
          <w:szCs w:val="24"/>
        </w:rPr>
      </w:pPr>
    </w:p>
    <w:p w:rsidR="00A1036B" w:rsidRDefault="00A1036B" w:rsidP="00A1036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oznamovateli je vždy bezodkladně sděleno, že jeho podnět byl přijat. Toto oznámení je písemné. V případě, že oznamovatel zanechá telefonický kontakt, je možné i telefonické sdělení.  V tel. kontaktu je možno se doptat na další informace, případně zavázat oznamovatele k bližší spolupráci, domluvit si osobní jednání. Zároveň je </w:t>
      </w:r>
      <w:r w:rsidRPr="00A1036B">
        <w:rPr>
          <w:sz w:val="24"/>
          <w:szCs w:val="24"/>
        </w:rPr>
        <w:lastRenderedPageBreak/>
        <w:t>oznamovatel informován o dalším postupu a lhůtách pro vyřízení.  O tom, je pořízen záznam.</w:t>
      </w:r>
    </w:p>
    <w:p w:rsidR="00A1036B" w:rsidRDefault="00A103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A1036B" w:rsidRPr="00A1036B" w:rsidTr="002B3ADE">
        <w:trPr>
          <w:trHeight w:val="570"/>
        </w:trPr>
        <w:tc>
          <w:tcPr>
            <w:tcW w:w="8985" w:type="dxa"/>
          </w:tcPr>
          <w:p w:rsidR="00A1036B" w:rsidRDefault="00A1036B" w:rsidP="00A1036B">
            <w:pPr>
              <w:spacing w:after="0"/>
              <w:ind w:left="37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lastRenderedPageBreak/>
              <w:t>8b</w:t>
            </w:r>
          </w:p>
          <w:p w:rsidR="00A1036B" w:rsidRPr="00A1036B" w:rsidRDefault="00A1036B" w:rsidP="00A1036B">
            <w:pPr>
              <w:spacing w:after="0"/>
              <w:ind w:left="37"/>
              <w:jc w:val="both"/>
              <w:rPr>
                <w:b/>
                <w:sz w:val="24"/>
                <w:szCs w:val="24"/>
              </w:rPr>
            </w:pPr>
          </w:p>
          <w:p w:rsidR="00A1036B" w:rsidRDefault="00A1036B" w:rsidP="00A1036B">
            <w:pPr>
              <w:spacing w:after="0"/>
              <w:ind w:left="37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t>Každý případ OSPOD je posouzen s ohledem na jeho naléhavost.</w:t>
            </w:r>
          </w:p>
          <w:p w:rsidR="00A1036B" w:rsidRPr="00A1036B" w:rsidRDefault="00A1036B" w:rsidP="00A1036B">
            <w:pPr>
              <w:spacing w:after="0"/>
              <w:ind w:left="3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</w:p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>Cíle kritéria:</w:t>
      </w:r>
    </w:p>
    <w:p w:rsidR="00A1036B" w:rsidRPr="00A1036B" w:rsidRDefault="00A1036B" w:rsidP="00A1036B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bezpečí a jistota klientů, že u naléhavých případů nebude docházet k prodlení</w:t>
      </w:r>
    </w:p>
    <w:p w:rsidR="00A1036B" w:rsidRPr="00A1036B" w:rsidRDefault="00A1036B" w:rsidP="00A1036B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stanovená kritéria naléhavosti případů a na ně navazující konkrétní postupy</w:t>
      </w:r>
    </w:p>
    <w:p w:rsidR="00A1036B" w:rsidRPr="00A1036B" w:rsidRDefault="00A1036B" w:rsidP="00A1036B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zaměstnanci znají kritéria naléhavosti případů a postupy v situacích, které byly jako naléhavé vyhodnocení</w:t>
      </w:r>
    </w:p>
    <w:p w:rsidR="00A1036B" w:rsidRPr="00A1036B" w:rsidRDefault="00A1036B" w:rsidP="00A1036B">
      <w:pPr>
        <w:pStyle w:val="Odstavecseseznamem"/>
        <w:spacing w:after="0"/>
        <w:jc w:val="both"/>
        <w:rPr>
          <w:sz w:val="24"/>
          <w:szCs w:val="24"/>
        </w:rPr>
      </w:pPr>
    </w:p>
    <w:p w:rsidR="00A1036B" w:rsidRPr="00A1036B" w:rsidRDefault="00A1036B" w:rsidP="00A1036B">
      <w:pPr>
        <w:jc w:val="both"/>
        <w:rPr>
          <w:b/>
          <w:sz w:val="24"/>
          <w:szCs w:val="24"/>
          <w:lang w:val="en-US"/>
        </w:rPr>
      </w:pPr>
      <w:proofErr w:type="spellStart"/>
      <w:proofErr w:type="gramStart"/>
      <w:r w:rsidRPr="00A1036B">
        <w:rPr>
          <w:b/>
          <w:sz w:val="24"/>
          <w:szCs w:val="24"/>
          <w:lang w:val="en-US"/>
        </w:rPr>
        <w:t>Naléhavost</w:t>
      </w:r>
      <w:proofErr w:type="spellEnd"/>
      <w:r w:rsidRPr="00A1036B">
        <w:rPr>
          <w:b/>
          <w:sz w:val="24"/>
          <w:szCs w:val="24"/>
          <w:lang w:val="en-US"/>
        </w:rPr>
        <w:t xml:space="preserve"> a </w:t>
      </w:r>
      <w:proofErr w:type="spellStart"/>
      <w:r w:rsidRPr="00A1036B">
        <w:rPr>
          <w:b/>
          <w:sz w:val="24"/>
          <w:szCs w:val="24"/>
          <w:lang w:val="en-US"/>
        </w:rPr>
        <w:t>bezodkladná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intervence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ze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strany</w:t>
      </w:r>
      <w:proofErr w:type="spellEnd"/>
      <w:r w:rsidRPr="00A1036B">
        <w:rPr>
          <w:b/>
          <w:sz w:val="24"/>
          <w:szCs w:val="24"/>
          <w:lang w:val="en-US"/>
        </w:rPr>
        <w:t xml:space="preserve"> OSPOD v </w:t>
      </w:r>
      <w:proofErr w:type="spellStart"/>
      <w:r w:rsidRPr="00A1036B">
        <w:rPr>
          <w:b/>
          <w:sz w:val="24"/>
          <w:szCs w:val="24"/>
          <w:lang w:val="en-US"/>
        </w:rPr>
        <w:t>případu</w:t>
      </w:r>
      <w:proofErr w:type="spellEnd"/>
      <w:r w:rsidRPr="00A1036B">
        <w:rPr>
          <w:b/>
          <w:sz w:val="24"/>
          <w:szCs w:val="24"/>
          <w:lang w:val="en-US"/>
        </w:rPr>
        <w:t xml:space="preserve"> je </w:t>
      </w:r>
      <w:proofErr w:type="spellStart"/>
      <w:r w:rsidRPr="00A1036B">
        <w:rPr>
          <w:b/>
          <w:sz w:val="24"/>
          <w:szCs w:val="24"/>
          <w:lang w:val="en-US"/>
        </w:rPr>
        <w:t>určena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dle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bezprostřední</w:t>
      </w:r>
      <w:proofErr w:type="spellEnd"/>
      <w:r w:rsidRPr="00A1036B">
        <w:rPr>
          <w:b/>
          <w:sz w:val="24"/>
          <w:szCs w:val="24"/>
          <w:lang w:val="en-US"/>
        </w:rPr>
        <w:t xml:space="preserve"> miry </w:t>
      </w:r>
      <w:proofErr w:type="spellStart"/>
      <w:r w:rsidRPr="00A1036B">
        <w:rPr>
          <w:b/>
          <w:sz w:val="24"/>
          <w:szCs w:val="24"/>
          <w:lang w:val="en-US"/>
        </w:rPr>
        <w:t>nebezpečí</w:t>
      </w:r>
      <w:proofErr w:type="spellEnd"/>
      <w:r w:rsidRPr="00A1036B">
        <w:rPr>
          <w:b/>
          <w:sz w:val="24"/>
          <w:szCs w:val="24"/>
          <w:lang w:val="en-US"/>
        </w:rPr>
        <w:t xml:space="preserve"> pro </w:t>
      </w:r>
      <w:proofErr w:type="spellStart"/>
      <w:r w:rsidRPr="00A1036B">
        <w:rPr>
          <w:b/>
          <w:sz w:val="24"/>
          <w:szCs w:val="24"/>
          <w:lang w:val="en-US"/>
        </w:rPr>
        <w:t>dítě</w:t>
      </w:r>
      <w:proofErr w:type="spellEnd"/>
      <w:r w:rsidRPr="00A1036B">
        <w:rPr>
          <w:b/>
          <w:sz w:val="24"/>
          <w:szCs w:val="24"/>
          <w:lang w:val="en-US"/>
        </w:rPr>
        <w:t>.</w:t>
      </w:r>
      <w:proofErr w:type="gram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A1036B">
        <w:rPr>
          <w:b/>
          <w:sz w:val="24"/>
          <w:szCs w:val="24"/>
          <w:lang w:val="en-US"/>
        </w:rPr>
        <w:t>Vždy</w:t>
      </w:r>
      <w:proofErr w:type="spellEnd"/>
      <w:r w:rsidRPr="00A1036B">
        <w:rPr>
          <w:b/>
          <w:sz w:val="24"/>
          <w:szCs w:val="24"/>
          <w:lang w:val="en-US"/>
        </w:rPr>
        <w:t xml:space="preserve"> je </w:t>
      </w:r>
      <w:proofErr w:type="spellStart"/>
      <w:r w:rsidRPr="00A1036B">
        <w:rPr>
          <w:b/>
          <w:sz w:val="24"/>
          <w:szCs w:val="24"/>
          <w:lang w:val="en-US"/>
        </w:rPr>
        <w:t>při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posuzování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zvažován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celý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kontext</w:t>
      </w:r>
      <w:proofErr w:type="spellEnd"/>
      <w:r w:rsidRPr="00A1036B">
        <w:rPr>
          <w:b/>
          <w:sz w:val="24"/>
          <w:szCs w:val="24"/>
          <w:lang w:val="en-US"/>
        </w:rPr>
        <w:t xml:space="preserve"> </w:t>
      </w:r>
      <w:proofErr w:type="spellStart"/>
      <w:r w:rsidRPr="00A1036B">
        <w:rPr>
          <w:b/>
          <w:sz w:val="24"/>
          <w:szCs w:val="24"/>
          <w:lang w:val="en-US"/>
        </w:rPr>
        <w:t>situace</w:t>
      </w:r>
      <w:proofErr w:type="spellEnd"/>
      <w:r w:rsidRPr="00A1036B">
        <w:rPr>
          <w:b/>
          <w:sz w:val="24"/>
          <w:szCs w:val="24"/>
          <w:lang w:val="en-US"/>
        </w:rPr>
        <w:t>.</w:t>
      </w:r>
      <w:proofErr w:type="gramEnd"/>
    </w:p>
    <w:p w:rsidR="00A1036B" w:rsidRPr="00A1036B" w:rsidRDefault="00A1036B" w:rsidP="00A1036B">
      <w:pPr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>Řešíme IHNED (v případě ohrožení života a zdraví dítěte) když:</w:t>
      </w:r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rodiče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jsou</w:t>
      </w:r>
      <w:proofErr w:type="spellEnd"/>
      <w:r w:rsidRPr="00A1036B">
        <w:rPr>
          <w:sz w:val="24"/>
          <w:szCs w:val="24"/>
          <w:lang w:val="en-US"/>
        </w:rPr>
        <w:t xml:space="preserve"> pod </w:t>
      </w:r>
      <w:proofErr w:type="spellStart"/>
      <w:r w:rsidRPr="00A1036B">
        <w:rPr>
          <w:sz w:val="24"/>
          <w:szCs w:val="24"/>
          <w:lang w:val="en-US"/>
        </w:rPr>
        <w:t>vlivem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alkoholu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drogy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nejsou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schopni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aktuální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péče</w:t>
      </w:r>
      <w:proofErr w:type="spellEnd"/>
      <w:r w:rsidRPr="00A1036B">
        <w:rPr>
          <w:sz w:val="24"/>
          <w:szCs w:val="24"/>
          <w:lang w:val="en-US"/>
        </w:rPr>
        <w:t xml:space="preserve"> o </w:t>
      </w: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rodiče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náhle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zemřeli</w:t>
      </w:r>
      <w:proofErr w:type="spellEnd"/>
      <w:r w:rsidRPr="00A1036B">
        <w:rPr>
          <w:sz w:val="24"/>
          <w:szCs w:val="24"/>
          <w:lang w:val="en-US"/>
        </w:rPr>
        <w:t xml:space="preserve"> – </w:t>
      </w:r>
      <w:proofErr w:type="spellStart"/>
      <w:r w:rsidRPr="00A1036B">
        <w:rPr>
          <w:sz w:val="24"/>
          <w:szCs w:val="24"/>
          <w:lang w:val="en-US"/>
        </w:rPr>
        <w:t>autonehoda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sebevražda</w:t>
      </w:r>
      <w:proofErr w:type="spellEnd"/>
      <w:r w:rsidRPr="00A1036B">
        <w:rPr>
          <w:sz w:val="24"/>
          <w:szCs w:val="24"/>
          <w:lang w:val="en-US"/>
        </w:rPr>
        <w:t xml:space="preserve">, v </w:t>
      </w:r>
      <w:proofErr w:type="spellStart"/>
      <w:r w:rsidRPr="00A1036B">
        <w:rPr>
          <w:sz w:val="24"/>
          <w:szCs w:val="24"/>
          <w:lang w:val="en-US"/>
        </w:rPr>
        <w:t>důsledku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násilného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trestného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činu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ataka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psychické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nemoci</w:t>
      </w:r>
      <w:proofErr w:type="spellEnd"/>
      <w:r w:rsidRPr="00A1036B">
        <w:rPr>
          <w:sz w:val="24"/>
          <w:szCs w:val="24"/>
          <w:lang w:val="en-US"/>
        </w:rPr>
        <w:t xml:space="preserve"> u </w:t>
      </w:r>
      <w:proofErr w:type="spellStart"/>
      <w:r w:rsidRPr="00A1036B">
        <w:rPr>
          <w:sz w:val="24"/>
          <w:szCs w:val="24"/>
          <w:lang w:val="en-US"/>
        </w:rPr>
        <w:t>rodiče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fyzické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napadení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dítěte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rodičem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nebo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jinou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osobou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aktuální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hrozba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fyzického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napadení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bezprostředně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po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sebepeškozujícím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jednání</w:t>
      </w:r>
      <w:proofErr w:type="spellEnd"/>
      <w:r w:rsidR="00A366C6">
        <w:rPr>
          <w:sz w:val="24"/>
          <w:szCs w:val="24"/>
          <w:lang w:val="en-US"/>
        </w:rPr>
        <w:t>,</w:t>
      </w:r>
      <w:r w:rsidR="0068327A">
        <w:rPr>
          <w:sz w:val="24"/>
          <w:szCs w:val="24"/>
          <w:lang w:val="en-US"/>
        </w:rPr>
        <w:t xml:space="preserve"> </w:t>
      </w:r>
      <w:proofErr w:type="spellStart"/>
      <w:r w:rsidR="0068327A">
        <w:rPr>
          <w:sz w:val="24"/>
          <w:szCs w:val="24"/>
          <w:lang w:val="en-US"/>
        </w:rPr>
        <w:t>intoxikace</w:t>
      </w:r>
      <w:proofErr w:type="spellEnd"/>
      <w:r w:rsidR="0068327A">
        <w:rPr>
          <w:sz w:val="24"/>
          <w:szCs w:val="24"/>
          <w:lang w:val="en-US"/>
        </w:rPr>
        <w:t xml:space="preserve"> NL</w:t>
      </w:r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útěku</w:t>
      </w:r>
      <w:proofErr w:type="spellEnd"/>
      <w:r w:rsidRPr="00A1036B">
        <w:rPr>
          <w:sz w:val="24"/>
          <w:szCs w:val="24"/>
          <w:lang w:val="en-US"/>
        </w:rPr>
        <w:t xml:space="preserve"> z </w:t>
      </w:r>
      <w:proofErr w:type="spellStart"/>
      <w:r w:rsidRPr="00A1036B">
        <w:rPr>
          <w:sz w:val="24"/>
          <w:szCs w:val="24"/>
          <w:lang w:val="en-US"/>
        </w:rPr>
        <w:t>rodiny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</w:t>
      </w:r>
      <w:r w:rsidRPr="00A1036B">
        <w:rPr>
          <w:sz w:val="24"/>
          <w:szCs w:val="24"/>
          <w:lang w:val="en-US"/>
        </w:rPr>
        <w:t>ítě</w:t>
      </w:r>
      <w:proofErr w:type="spellEnd"/>
      <w:r w:rsidRPr="00A1036B">
        <w:rPr>
          <w:sz w:val="24"/>
          <w:szCs w:val="24"/>
          <w:lang w:val="en-US"/>
        </w:rPr>
        <w:t xml:space="preserve"> bez </w:t>
      </w:r>
      <w:proofErr w:type="spellStart"/>
      <w:r w:rsidRPr="00A1036B">
        <w:rPr>
          <w:sz w:val="24"/>
          <w:szCs w:val="24"/>
          <w:lang w:val="en-US"/>
        </w:rPr>
        <w:t>adekvátního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dozoru</w:t>
      </w:r>
      <w:proofErr w:type="spellEnd"/>
      <w:r w:rsidRPr="00A1036B">
        <w:rPr>
          <w:sz w:val="24"/>
          <w:szCs w:val="24"/>
          <w:lang w:val="en-US"/>
        </w:rPr>
        <w:t xml:space="preserve"> s </w:t>
      </w:r>
      <w:proofErr w:type="spellStart"/>
      <w:r w:rsidRPr="00A1036B">
        <w:rPr>
          <w:sz w:val="24"/>
          <w:szCs w:val="24"/>
          <w:lang w:val="en-US"/>
        </w:rPr>
        <w:t>ohledem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věk</w:t>
      </w:r>
      <w:proofErr w:type="spellEnd"/>
      <w:r w:rsidRPr="00A1036B">
        <w:rPr>
          <w:sz w:val="24"/>
          <w:szCs w:val="24"/>
          <w:lang w:val="en-US"/>
        </w:rPr>
        <w:t xml:space="preserve"> a </w:t>
      </w:r>
      <w:proofErr w:type="spellStart"/>
      <w:r w:rsidRPr="00A1036B">
        <w:rPr>
          <w:sz w:val="24"/>
          <w:szCs w:val="24"/>
          <w:lang w:val="en-US"/>
        </w:rPr>
        <w:t>rozumovou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vyspělost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dítěte</w:t>
      </w:r>
      <w:proofErr w:type="spellEnd"/>
      <w:r w:rsidRPr="00A1036B">
        <w:rPr>
          <w:sz w:val="24"/>
          <w:szCs w:val="24"/>
          <w:lang w:val="en-US"/>
        </w:rPr>
        <w:t xml:space="preserve">, s </w:t>
      </w:r>
      <w:proofErr w:type="spellStart"/>
      <w:r w:rsidRPr="00A1036B">
        <w:rPr>
          <w:sz w:val="24"/>
          <w:szCs w:val="24"/>
          <w:lang w:val="en-US"/>
        </w:rPr>
        <w:t>ohledem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denní</w:t>
      </w:r>
      <w:proofErr w:type="spellEnd"/>
      <w:r w:rsidRPr="00A1036B">
        <w:rPr>
          <w:sz w:val="24"/>
          <w:szCs w:val="24"/>
          <w:lang w:val="en-US"/>
        </w:rPr>
        <w:t xml:space="preserve">      </w:t>
      </w:r>
      <w:proofErr w:type="spellStart"/>
      <w:r w:rsidRPr="00A1036B">
        <w:rPr>
          <w:sz w:val="24"/>
          <w:szCs w:val="24"/>
          <w:lang w:val="en-US"/>
        </w:rPr>
        <w:t>dobu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zdravotní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stav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cizinec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podezření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na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sexuální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zneužití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dítěte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rodina</w:t>
      </w:r>
      <w:proofErr w:type="spellEnd"/>
      <w:r w:rsidRPr="00A1036B">
        <w:rPr>
          <w:sz w:val="24"/>
          <w:szCs w:val="24"/>
          <w:lang w:val="en-US"/>
        </w:rPr>
        <w:t xml:space="preserve"> je </w:t>
      </w:r>
      <w:proofErr w:type="spellStart"/>
      <w:r w:rsidRPr="00A1036B">
        <w:rPr>
          <w:sz w:val="24"/>
          <w:szCs w:val="24"/>
          <w:lang w:val="en-US"/>
        </w:rPr>
        <w:t>náhle</w:t>
      </w:r>
      <w:proofErr w:type="spellEnd"/>
      <w:r w:rsidRPr="00A1036B">
        <w:rPr>
          <w:sz w:val="24"/>
          <w:szCs w:val="24"/>
          <w:lang w:val="en-US"/>
        </w:rPr>
        <w:t xml:space="preserve"> bez </w:t>
      </w:r>
      <w:proofErr w:type="spellStart"/>
      <w:r w:rsidRPr="00A1036B">
        <w:rPr>
          <w:sz w:val="24"/>
          <w:szCs w:val="24"/>
          <w:lang w:val="en-US"/>
        </w:rPr>
        <w:t>přístřeší</w:t>
      </w:r>
      <w:proofErr w:type="spellEnd"/>
      <w:r w:rsidRPr="00A1036B">
        <w:rPr>
          <w:sz w:val="24"/>
          <w:szCs w:val="24"/>
          <w:lang w:val="en-US"/>
        </w:rPr>
        <w:t xml:space="preserve"> a </w:t>
      </w:r>
      <w:proofErr w:type="spellStart"/>
      <w:r w:rsidRPr="00A1036B">
        <w:rPr>
          <w:sz w:val="24"/>
          <w:szCs w:val="24"/>
          <w:lang w:val="en-US"/>
        </w:rPr>
        <w:t>zcela</w:t>
      </w:r>
      <w:proofErr w:type="spellEnd"/>
      <w:r w:rsidRPr="00A1036B">
        <w:rPr>
          <w:sz w:val="24"/>
          <w:szCs w:val="24"/>
          <w:lang w:val="en-US"/>
        </w:rPr>
        <w:t xml:space="preserve"> bez </w:t>
      </w:r>
      <w:proofErr w:type="spellStart"/>
      <w:r w:rsidRPr="00A1036B">
        <w:rPr>
          <w:sz w:val="24"/>
          <w:szCs w:val="24"/>
          <w:lang w:val="en-US"/>
        </w:rPr>
        <w:t>finančních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prostředků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je </w:t>
      </w:r>
      <w:proofErr w:type="spellStart"/>
      <w:r w:rsidRPr="00A1036B">
        <w:rPr>
          <w:sz w:val="24"/>
          <w:szCs w:val="24"/>
          <w:lang w:val="en-US"/>
        </w:rPr>
        <w:t>svědkem</w:t>
      </w:r>
      <w:proofErr w:type="spellEnd"/>
      <w:r w:rsidRPr="00A1036B">
        <w:rPr>
          <w:sz w:val="24"/>
          <w:szCs w:val="24"/>
          <w:lang w:val="en-US"/>
        </w:rPr>
        <w:t xml:space="preserve"> I </w:t>
      </w:r>
      <w:proofErr w:type="spellStart"/>
      <w:r w:rsidRPr="00A1036B">
        <w:rPr>
          <w:sz w:val="24"/>
          <w:szCs w:val="24"/>
          <w:lang w:val="en-US"/>
        </w:rPr>
        <w:t>obětí</w:t>
      </w:r>
      <w:proofErr w:type="spellEnd"/>
      <w:r w:rsidRPr="00A1036B">
        <w:rPr>
          <w:sz w:val="24"/>
          <w:szCs w:val="24"/>
          <w:lang w:val="en-US"/>
        </w:rPr>
        <w:t xml:space="preserve"> DN, </w:t>
      </w:r>
      <w:proofErr w:type="spellStart"/>
      <w:r w:rsidRPr="00A1036B">
        <w:rPr>
          <w:sz w:val="24"/>
          <w:szCs w:val="24"/>
          <w:lang w:val="en-US"/>
        </w:rPr>
        <w:t>při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vykázání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násilné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osoby</w:t>
      </w:r>
      <w:proofErr w:type="spellEnd"/>
      <w:r w:rsidRPr="00A1036B">
        <w:rPr>
          <w:sz w:val="24"/>
          <w:szCs w:val="24"/>
          <w:lang w:val="en-US"/>
        </w:rPr>
        <w:t xml:space="preserve">, </w:t>
      </w:r>
      <w:proofErr w:type="spellStart"/>
      <w:r w:rsidRPr="00A1036B">
        <w:rPr>
          <w:sz w:val="24"/>
          <w:szCs w:val="24"/>
          <w:lang w:val="en-US"/>
        </w:rPr>
        <w:t>případně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zásahu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policie</w:t>
      </w:r>
      <w:proofErr w:type="spellEnd"/>
    </w:p>
    <w:p w:rsidR="00A1036B" w:rsidRP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jako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oběť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trestného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činu</w:t>
      </w:r>
      <w:proofErr w:type="spellEnd"/>
      <w:r w:rsidRPr="00A1036B">
        <w:rPr>
          <w:sz w:val="24"/>
          <w:szCs w:val="24"/>
          <w:lang w:val="en-US"/>
        </w:rPr>
        <w:t xml:space="preserve"> (</w:t>
      </w: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jako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zvlášť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zranitelná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oběť</w:t>
      </w:r>
      <w:proofErr w:type="spellEnd"/>
      <w:r w:rsidRPr="00A1036B">
        <w:rPr>
          <w:sz w:val="24"/>
          <w:szCs w:val="24"/>
          <w:lang w:val="en-US"/>
        </w:rPr>
        <w:t>)</w:t>
      </w:r>
    </w:p>
    <w:p w:rsidR="00A1036B" w:rsidRDefault="00A1036B" w:rsidP="00A1036B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proofErr w:type="spellStart"/>
      <w:r w:rsidRPr="00A1036B">
        <w:rPr>
          <w:sz w:val="24"/>
          <w:szCs w:val="24"/>
          <w:lang w:val="en-US"/>
        </w:rPr>
        <w:t>dítě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dopouštějící</w:t>
      </w:r>
      <w:proofErr w:type="spellEnd"/>
      <w:r w:rsidRPr="00A1036B">
        <w:rPr>
          <w:sz w:val="24"/>
          <w:szCs w:val="24"/>
          <w:lang w:val="en-US"/>
        </w:rPr>
        <w:t xml:space="preserve"> se </w:t>
      </w:r>
      <w:proofErr w:type="spellStart"/>
      <w:r w:rsidRPr="00A1036B">
        <w:rPr>
          <w:sz w:val="24"/>
          <w:szCs w:val="24"/>
          <w:lang w:val="en-US"/>
        </w:rPr>
        <w:t>závažného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agresívního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jednání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vyžadujícího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výchovné</w:t>
      </w:r>
      <w:proofErr w:type="spellEnd"/>
      <w:r w:rsidRPr="00A1036B">
        <w:rPr>
          <w:sz w:val="24"/>
          <w:szCs w:val="24"/>
          <w:lang w:val="en-US"/>
        </w:rPr>
        <w:t xml:space="preserve"> </w:t>
      </w:r>
      <w:proofErr w:type="spellStart"/>
      <w:r w:rsidRPr="00A1036B">
        <w:rPr>
          <w:sz w:val="24"/>
          <w:szCs w:val="24"/>
          <w:lang w:val="en-US"/>
        </w:rPr>
        <w:t>opatření</w:t>
      </w:r>
      <w:proofErr w:type="spellEnd"/>
    </w:p>
    <w:p w:rsidR="00141A78" w:rsidRPr="00A1036B" w:rsidRDefault="00141A78" w:rsidP="00141A7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podezření na psychické či fyzické týrání</w:t>
      </w:r>
    </w:p>
    <w:p w:rsidR="00141A78" w:rsidRPr="00A1036B" w:rsidRDefault="00141A78" w:rsidP="00141A78">
      <w:pPr>
        <w:pStyle w:val="Odstavecseseznamem"/>
        <w:jc w:val="both"/>
        <w:rPr>
          <w:sz w:val="24"/>
          <w:szCs w:val="24"/>
          <w:lang w:val="en-US"/>
        </w:rPr>
      </w:pP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Nejdéle </w:t>
      </w:r>
      <w:r w:rsidRPr="00A1036B">
        <w:rPr>
          <w:b/>
          <w:sz w:val="24"/>
          <w:szCs w:val="24"/>
        </w:rPr>
        <w:t xml:space="preserve">do 5 </w:t>
      </w:r>
      <w:proofErr w:type="spellStart"/>
      <w:r w:rsidRPr="00A1036B">
        <w:rPr>
          <w:b/>
          <w:sz w:val="24"/>
          <w:szCs w:val="24"/>
        </w:rPr>
        <w:t>prac</w:t>
      </w:r>
      <w:proofErr w:type="spellEnd"/>
      <w:r w:rsidRPr="00A1036B">
        <w:rPr>
          <w:b/>
          <w:sz w:val="24"/>
          <w:szCs w:val="24"/>
        </w:rPr>
        <w:t xml:space="preserve">. </w:t>
      </w:r>
      <w:proofErr w:type="gramStart"/>
      <w:r w:rsidRPr="00A1036B">
        <w:rPr>
          <w:b/>
          <w:sz w:val="24"/>
          <w:szCs w:val="24"/>
        </w:rPr>
        <w:t>dnů</w:t>
      </w:r>
      <w:proofErr w:type="gramEnd"/>
      <w:r w:rsidRPr="00A1036B">
        <w:rPr>
          <w:sz w:val="24"/>
          <w:szCs w:val="24"/>
        </w:rPr>
        <w:t xml:space="preserve"> řešíme následující:</w:t>
      </w:r>
    </w:p>
    <w:p w:rsidR="00A1036B" w:rsidRPr="00A1036B" w:rsidRDefault="00A1036B" w:rsidP="00A103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dítě ve vztahovém konfliktu mezi rodiči</w:t>
      </w:r>
    </w:p>
    <w:p w:rsidR="00A1036B" w:rsidRPr="00A1036B" w:rsidRDefault="00A1036B" w:rsidP="00A103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odmítnutí zajištění lékařské péče pro dítě</w:t>
      </w:r>
    </w:p>
    <w:p w:rsidR="00A1036B" w:rsidRPr="00A1036B" w:rsidRDefault="00A1036B" w:rsidP="00A103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opakovaný podnět, který byl OSPOD v předchozích 2 případech vyhodnocen jako nedůvodný</w:t>
      </w:r>
    </w:p>
    <w:p w:rsidR="00A1036B" w:rsidRPr="00A1036B" w:rsidRDefault="00A1036B" w:rsidP="00A103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zanedbávání péče v kombinaci s riziky na straně dospělého</w:t>
      </w:r>
    </w:p>
    <w:p w:rsidR="00A1036B" w:rsidRDefault="00A103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1036B" w:rsidRPr="00A1036B" w:rsidRDefault="00A1036B" w:rsidP="00A1036B">
      <w:pPr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lastRenderedPageBreak/>
        <w:t>Do 30 dnů řešíme: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informace pro jiné instituce, v případě žádosti soudu dle možností vyhovíme i v kratší lhůtě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majetkové poměry dítěte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podněty na výchovná opatření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výchovné problémy dítěte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maření výkonu úředního rozhodnutí</w:t>
      </w:r>
    </w:p>
    <w:p w:rsidR="00A1036B" w:rsidRP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odmítnutí vyřízení nutných úředních formalit po narození dítěte</w:t>
      </w:r>
    </w:p>
    <w:p w:rsidR="00A1036B" w:rsidRDefault="00A1036B" w:rsidP="00A1036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žádosti s výjimkou žádostí se zákonem stanovenými lhůtami (např. odmítnutí o nahlédnutí do spisu </w:t>
      </w:r>
      <w:proofErr w:type="spellStart"/>
      <w:r w:rsidRPr="00A1036B">
        <w:rPr>
          <w:sz w:val="24"/>
          <w:szCs w:val="24"/>
        </w:rPr>
        <w:t>Om</w:t>
      </w:r>
      <w:proofErr w:type="spellEnd"/>
      <w:r w:rsidRPr="00A1036B">
        <w:rPr>
          <w:sz w:val="24"/>
          <w:szCs w:val="24"/>
        </w:rPr>
        <w:t>)</w:t>
      </w:r>
    </w:p>
    <w:p w:rsidR="00A1036B" w:rsidRDefault="00A103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A1036B" w:rsidRPr="00A1036B" w:rsidTr="002B3ADE">
        <w:trPr>
          <w:trHeight w:val="840"/>
        </w:trPr>
        <w:tc>
          <w:tcPr>
            <w:tcW w:w="9240" w:type="dxa"/>
          </w:tcPr>
          <w:p w:rsidR="00A1036B" w:rsidRDefault="00A1036B" w:rsidP="00A1036B">
            <w:pPr>
              <w:spacing w:after="0"/>
              <w:ind w:left="82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lastRenderedPageBreak/>
              <w:t>8c</w:t>
            </w:r>
          </w:p>
          <w:p w:rsidR="00A1036B" w:rsidRPr="00A1036B" w:rsidRDefault="00A1036B" w:rsidP="00A1036B">
            <w:pPr>
              <w:spacing w:after="0"/>
              <w:ind w:left="82"/>
              <w:jc w:val="both"/>
              <w:rPr>
                <w:b/>
                <w:sz w:val="24"/>
                <w:szCs w:val="24"/>
              </w:rPr>
            </w:pPr>
          </w:p>
          <w:p w:rsidR="00A1036B" w:rsidRDefault="00A1036B" w:rsidP="00A1036B">
            <w:pPr>
              <w:spacing w:after="0"/>
              <w:ind w:left="82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t>Každý případ je přidělen konkrétnímu koordinátorovi případu. Koordinátor řídí průběh výkonu sociálně-právní ochrany u daného případu.</w:t>
            </w:r>
          </w:p>
          <w:p w:rsidR="00A1036B" w:rsidRPr="00A1036B" w:rsidRDefault="00A1036B" w:rsidP="00A1036B">
            <w:pPr>
              <w:spacing w:after="0"/>
              <w:ind w:left="8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 xml:space="preserve"> </w:t>
      </w:r>
    </w:p>
    <w:p w:rsidR="00A1036B" w:rsidRPr="00A1036B" w:rsidRDefault="00A1036B" w:rsidP="00A1036B">
      <w:pPr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>Cíle kritéria:</w:t>
      </w:r>
    </w:p>
    <w:p w:rsidR="00A1036B" w:rsidRPr="00A1036B" w:rsidRDefault="00A1036B" w:rsidP="00A1036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zajištění koordinátora pro každý řešený případ</w:t>
      </w:r>
    </w:p>
    <w:p w:rsidR="00A1036B" w:rsidRPr="00A1036B" w:rsidRDefault="00A1036B" w:rsidP="00A1036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řízení případu jedním koordinátorem, který zná své povinnosti a zodpovědnost</w:t>
      </w: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b/>
          <w:sz w:val="24"/>
          <w:szCs w:val="24"/>
        </w:rPr>
        <w:t>Koordinátor</w:t>
      </w:r>
      <w:r w:rsidRPr="00A1036B">
        <w:rPr>
          <w:sz w:val="24"/>
          <w:szCs w:val="24"/>
        </w:rPr>
        <w:t xml:space="preserve"> je zaměstnanec OSPOD, který řídí a zodpovídá za průběh poskytov</w:t>
      </w:r>
      <w:r>
        <w:rPr>
          <w:sz w:val="24"/>
          <w:szCs w:val="24"/>
        </w:rPr>
        <w:t>á</w:t>
      </w:r>
      <w:r w:rsidRPr="00A1036B">
        <w:rPr>
          <w:sz w:val="24"/>
          <w:szCs w:val="24"/>
        </w:rPr>
        <w:t>ní SPO ke konkrétnímu dítěti. Toto připouští možnost angažování více koordinátorů v rodině. Mezi koordinátory je nutná spolupráce. Koordinátor provází klienta celým procesem pomoci a podpory. Komunikuje s klientem, přijímá jeho podání, projednává a řeší zásadní záležitosti týkající se sociální situace dítěte. Koordinátorem jednotlivého případu je určen zaměstnanec dle funkční náplně, odbornosti a dalších kritérií souvisejících např. s rajonizací správního obvodu. Koordinátor může po jiném zaměstnanci i koordinátorovi požadovat následující:</w:t>
      </w:r>
    </w:p>
    <w:p w:rsidR="00A1036B" w:rsidRPr="00A1036B" w:rsidRDefault="00A1036B" w:rsidP="00A1036B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účast při jednání s klientem,</w:t>
      </w:r>
    </w:p>
    <w:p w:rsidR="00A1036B" w:rsidRPr="00A1036B" w:rsidRDefault="00A1036B" w:rsidP="00A1036B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účast při sociálním šetření v rodině,</w:t>
      </w:r>
    </w:p>
    <w:p w:rsidR="00A1036B" w:rsidRPr="00A1036B" w:rsidRDefault="00A1036B" w:rsidP="00A1036B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1036B">
        <w:rPr>
          <w:sz w:val="24"/>
          <w:szCs w:val="24"/>
        </w:rPr>
        <w:t>konzultaci o problému v rodině.</w:t>
      </w:r>
    </w:p>
    <w:p w:rsidR="00A1036B" w:rsidRPr="00A1036B" w:rsidRDefault="00A1036B" w:rsidP="00A1036B">
      <w:pPr>
        <w:spacing w:after="0"/>
        <w:jc w:val="both"/>
        <w:rPr>
          <w:sz w:val="24"/>
          <w:szCs w:val="24"/>
        </w:rPr>
      </w:pP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V NRP zároveň pracuje s rodinou </w:t>
      </w:r>
      <w:r w:rsidRPr="00A1036B">
        <w:rPr>
          <w:b/>
          <w:sz w:val="24"/>
          <w:szCs w:val="24"/>
        </w:rPr>
        <w:t>klíčový pracovník</w:t>
      </w:r>
      <w:r w:rsidRPr="00A1036B">
        <w:rPr>
          <w:sz w:val="24"/>
          <w:szCs w:val="24"/>
        </w:rPr>
        <w:t xml:space="preserve">, který spolupracuje s koordinátorem a ve své činnosti je </w:t>
      </w:r>
      <w:bookmarkStart w:id="0" w:name="_GoBack"/>
      <w:bookmarkEnd w:id="0"/>
      <w:r w:rsidRPr="00A1036B">
        <w:rPr>
          <w:sz w:val="24"/>
          <w:szCs w:val="24"/>
        </w:rPr>
        <w:t xml:space="preserve">koordinátorem veden. </w:t>
      </w: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b/>
          <w:sz w:val="24"/>
          <w:szCs w:val="24"/>
        </w:rPr>
        <w:t>Osoba koordinátora</w:t>
      </w:r>
      <w:r w:rsidRPr="00A1036B">
        <w:rPr>
          <w:sz w:val="24"/>
          <w:szCs w:val="24"/>
        </w:rPr>
        <w:t xml:space="preserve"> je zaznačena na spisovém obale </w:t>
      </w:r>
      <w:proofErr w:type="spellStart"/>
      <w:r w:rsidRPr="00A1036B">
        <w:rPr>
          <w:sz w:val="24"/>
          <w:szCs w:val="24"/>
        </w:rPr>
        <w:t>Om</w:t>
      </w:r>
      <w:proofErr w:type="spellEnd"/>
      <w:r w:rsidRPr="00A1036B">
        <w:rPr>
          <w:sz w:val="24"/>
          <w:szCs w:val="24"/>
        </w:rPr>
        <w:t>/</w:t>
      </w:r>
      <w:proofErr w:type="spellStart"/>
      <w:r w:rsidRPr="00A1036B">
        <w:rPr>
          <w:sz w:val="24"/>
          <w:szCs w:val="24"/>
        </w:rPr>
        <w:t>Nom</w:t>
      </w:r>
      <w:proofErr w:type="spellEnd"/>
      <w:r w:rsidRPr="00A1036B">
        <w:rPr>
          <w:sz w:val="24"/>
          <w:szCs w:val="24"/>
        </w:rPr>
        <w:t>. Informace o tom, kdo je koordinátorem případu, je sdělena zákonným zástupcům dítěte i spolupracujícím subjektům.</w:t>
      </w:r>
    </w:p>
    <w:p w:rsidR="00A1036B" w:rsidRDefault="00A1036B" w:rsidP="00A1036B">
      <w:pPr>
        <w:jc w:val="both"/>
        <w:rPr>
          <w:sz w:val="24"/>
          <w:szCs w:val="24"/>
        </w:rPr>
      </w:pPr>
      <w:r w:rsidRPr="00A1036B">
        <w:rPr>
          <w:b/>
          <w:sz w:val="24"/>
          <w:szCs w:val="24"/>
        </w:rPr>
        <w:t xml:space="preserve">Změna koordinátora </w:t>
      </w:r>
      <w:r w:rsidRPr="00A1036B">
        <w:rPr>
          <w:sz w:val="24"/>
          <w:szCs w:val="24"/>
        </w:rPr>
        <w:t>je možná</w:t>
      </w:r>
      <w:r w:rsidR="00141A78">
        <w:rPr>
          <w:sz w:val="24"/>
          <w:szCs w:val="24"/>
        </w:rPr>
        <w:t xml:space="preserve"> nikoliv však nutná</w:t>
      </w:r>
      <w:r w:rsidRPr="00A1036B">
        <w:rPr>
          <w:sz w:val="24"/>
          <w:szCs w:val="24"/>
        </w:rPr>
        <w:t xml:space="preserve"> v případě námitek podjatosti vůči zaměstnanci OSPOD ze strany klienta nebo samotného zaměstnance OSPOD.</w:t>
      </w:r>
      <w:r w:rsidR="00141A78">
        <w:rPr>
          <w:sz w:val="24"/>
          <w:szCs w:val="24"/>
        </w:rPr>
        <w:t xml:space="preserve"> Námitky podjatosti se řeší v souladu s § 14 správního řádu. Dále může dojít ke změně koordinátora při změně rajonizace, při personálních změnách</w:t>
      </w:r>
      <w:r w:rsidR="00282DE8">
        <w:rPr>
          <w:sz w:val="24"/>
          <w:szCs w:val="24"/>
        </w:rPr>
        <w:t>,</w:t>
      </w:r>
      <w:r w:rsidR="00141A78">
        <w:rPr>
          <w:sz w:val="24"/>
          <w:szCs w:val="24"/>
        </w:rPr>
        <w:t xml:space="preserve"> </w:t>
      </w:r>
      <w:r w:rsidR="00282DE8">
        <w:rPr>
          <w:sz w:val="24"/>
          <w:szCs w:val="24"/>
        </w:rPr>
        <w:t>p</w:t>
      </w:r>
      <w:r w:rsidR="00141A78">
        <w:rPr>
          <w:sz w:val="24"/>
          <w:szCs w:val="24"/>
        </w:rPr>
        <w:t xml:space="preserve">ři změně problematiky řešené v rámci </w:t>
      </w:r>
      <w:proofErr w:type="gramStart"/>
      <w:r w:rsidR="00141A78">
        <w:rPr>
          <w:sz w:val="24"/>
          <w:szCs w:val="24"/>
        </w:rPr>
        <w:t>SPOD</w:t>
      </w:r>
      <w:proofErr w:type="gramEnd"/>
      <w:r w:rsidR="00141A78">
        <w:rPr>
          <w:sz w:val="24"/>
          <w:szCs w:val="24"/>
        </w:rPr>
        <w:t xml:space="preserve">. </w:t>
      </w:r>
      <w:r w:rsidR="00282DE8">
        <w:rPr>
          <w:sz w:val="24"/>
          <w:szCs w:val="24"/>
        </w:rPr>
        <w:t>Jedná se zejména o předávání případů kurátorům pro mládež, které probíhá v souladu s § 31 zákona o sociálně-právní ochraně dětí, v platném znění. Pokud je v rodině více dětí, kurátor pro mládež pracuje pouze s tím dítětem, které jeho působení potřebuje, s ostatními dětmi pracuje další koordinátor.</w:t>
      </w:r>
      <w:r w:rsidRPr="00A1036B">
        <w:rPr>
          <w:sz w:val="24"/>
          <w:szCs w:val="24"/>
        </w:rPr>
        <w:t xml:space="preserve"> Klient je vždy o </w:t>
      </w:r>
      <w:r w:rsidR="00282DE8">
        <w:rPr>
          <w:sz w:val="24"/>
          <w:szCs w:val="24"/>
        </w:rPr>
        <w:t>změně koordinátora</w:t>
      </w:r>
      <w:r w:rsidRPr="00A1036B">
        <w:rPr>
          <w:sz w:val="24"/>
          <w:szCs w:val="24"/>
        </w:rPr>
        <w:t xml:space="preserve"> seznámen prokazatelně a srozumitelně s uvedením data, od kterého ke změně dochází. Případ je jinému koordinátorovi předán protokolárně.</w:t>
      </w:r>
      <w:r w:rsidR="00282DE8">
        <w:rPr>
          <w:sz w:val="24"/>
          <w:szCs w:val="24"/>
        </w:rPr>
        <w:t xml:space="preserve"> </w:t>
      </w:r>
      <w:r w:rsidRPr="00A1036B">
        <w:rPr>
          <w:sz w:val="24"/>
          <w:szCs w:val="24"/>
        </w:rPr>
        <w:t>Spolupracující osoba nebo organizace je o této změně rovněž informována.</w:t>
      </w:r>
    </w:p>
    <w:p w:rsidR="00A1036B" w:rsidRDefault="00A103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2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1036B" w:rsidRPr="00A1036B" w:rsidTr="002B3ADE">
        <w:trPr>
          <w:trHeight w:val="1125"/>
        </w:trPr>
        <w:tc>
          <w:tcPr>
            <w:tcW w:w="9210" w:type="dxa"/>
          </w:tcPr>
          <w:p w:rsidR="00A1036B" w:rsidRDefault="00A1036B" w:rsidP="00A1036B">
            <w:pPr>
              <w:spacing w:after="0"/>
              <w:ind w:left="67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lastRenderedPageBreak/>
              <w:t>8d</w:t>
            </w:r>
          </w:p>
          <w:p w:rsidR="00A1036B" w:rsidRPr="00A1036B" w:rsidRDefault="00A1036B" w:rsidP="00A1036B">
            <w:pPr>
              <w:spacing w:after="0"/>
              <w:ind w:left="67"/>
              <w:jc w:val="both"/>
              <w:rPr>
                <w:b/>
                <w:sz w:val="24"/>
                <w:szCs w:val="24"/>
              </w:rPr>
            </w:pPr>
          </w:p>
          <w:p w:rsidR="00A1036B" w:rsidRDefault="00A1036B" w:rsidP="00A1036B">
            <w:pPr>
              <w:spacing w:after="0"/>
              <w:ind w:left="67"/>
              <w:jc w:val="both"/>
              <w:rPr>
                <w:b/>
                <w:sz w:val="24"/>
                <w:szCs w:val="24"/>
              </w:rPr>
            </w:pPr>
            <w:r w:rsidRPr="00A1036B">
              <w:rPr>
                <w:b/>
                <w:sz w:val="24"/>
                <w:szCs w:val="24"/>
              </w:rPr>
              <w:t>Každý zaměstnanec zařazený v orgánu sociálně-právní ochrany k výkonu sociálně-právní ochrany pracuje maximálně s 80 rodinami, v případě kurátora pro mládež se 40 rodinami. V případě práce s osobami pečujícími a osobami v evidenci pracuje maximálně se 40 rodinami.</w:t>
            </w:r>
          </w:p>
          <w:p w:rsidR="00A1036B" w:rsidRPr="00A1036B" w:rsidRDefault="00A1036B" w:rsidP="00A1036B">
            <w:pPr>
              <w:spacing w:after="0"/>
              <w:ind w:left="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1036B" w:rsidRPr="00A1036B" w:rsidRDefault="00A1036B" w:rsidP="00A1036B">
      <w:pPr>
        <w:spacing w:after="0"/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 xml:space="preserve">  </w:t>
      </w:r>
    </w:p>
    <w:p w:rsidR="00A1036B" w:rsidRPr="00A1036B" w:rsidRDefault="00A1036B" w:rsidP="00A1036B">
      <w:pPr>
        <w:jc w:val="both"/>
        <w:rPr>
          <w:b/>
          <w:sz w:val="24"/>
          <w:szCs w:val="24"/>
        </w:rPr>
      </w:pPr>
      <w:r w:rsidRPr="00A1036B">
        <w:rPr>
          <w:b/>
          <w:sz w:val="24"/>
          <w:szCs w:val="24"/>
        </w:rPr>
        <w:t>Cíle kritéria:</w:t>
      </w:r>
    </w:p>
    <w:p w:rsidR="00A1036B" w:rsidRPr="00A1036B" w:rsidRDefault="00A1036B" w:rsidP="00A1036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zajištění řádného a kvalitního výkonu sociálně-právní ochrany, zajištění práva rodiny</w:t>
      </w:r>
    </w:p>
    <w:p w:rsidR="00A1036B" w:rsidRPr="00A1036B" w:rsidRDefault="00A1036B" w:rsidP="00A1036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ochrana zaměstnanců před přetížením</w:t>
      </w: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S ohledem na to, že tento </w:t>
      </w:r>
      <w:r w:rsidR="00282DE8">
        <w:rPr>
          <w:sz w:val="24"/>
          <w:szCs w:val="24"/>
        </w:rPr>
        <w:t>standard</w:t>
      </w:r>
      <w:r w:rsidRPr="00A1036B">
        <w:rPr>
          <w:sz w:val="24"/>
          <w:szCs w:val="24"/>
        </w:rPr>
        <w:t> </w:t>
      </w:r>
      <w:proofErr w:type="gramStart"/>
      <w:r w:rsidRPr="00A1036B">
        <w:rPr>
          <w:sz w:val="24"/>
          <w:szCs w:val="24"/>
        </w:rPr>
        <w:t>je</w:t>
      </w:r>
      <w:proofErr w:type="gramEnd"/>
      <w:r w:rsidRPr="00A1036B">
        <w:rPr>
          <w:sz w:val="24"/>
          <w:szCs w:val="24"/>
        </w:rPr>
        <w:t xml:space="preserve"> zaměřen na </w:t>
      </w:r>
      <w:r w:rsidRPr="00A1036B">
        <w:rPr>
          <w:b/>
          <w:sz w:val="24"/>
          <w:szCs w:val="24"/>
        </w:rPr>
        <w:t>ochranu zaměstnanců</w:t>
      </w:r>
      <w:r w:rsidRPr="00A1036B">
        <w:rPr>
          <w:sz w:val="24"/>
          <w:szCs w:val="24"/>
        </w:rPr>
        <w:t xml:space="preserve"> je garantováno, že:</w:t>
      </w:r>
    </w:p>
    <w:p w:rsidR="00A1036B" w:rsidRPr="00A1036B" w:rsidRDefault="00A1036B" w:rsidP="00A1036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Vedoucí zaměstnanec zajistí rovnoměrné rozdělení agendy na základě vyhodnocen</w:t>
      </w:r>
      <w:r w:rsidR="00282DE8">
        <w:rPr>
          <w:sz w:val="24"/>
          <w:szCs w:val="24"/>
        </w:rPr>
        <w:t xml:space="preserve">í náročnosti aktuálních případů dle statistického porovnání vytíženosti jednotlivých zaměstnanců. Toto se děje zpravidla 1x za čtvrtletí, </w:t>
      </w:r>
      <w:r w:rsidR="00282DE8" w:rsidRPr="00A1036B">
        <w:rPr>
          <w:sz w:val="24"/>
          <w:szCs w:val="24"/>
        </w:rPr>
        <w:t>nejméně</w:t>
      </w:r>
      <w:r w:rsidR="00282DE8">
        <w:rPr>
          <w:sz w:val="24"/>
          <w:szCs w:val="24"/>
        </w:rPr>
        <w:t xml:space="preserve"> však</w:t>
      </w:r>
      <w:r w:rsidR="00282DE8" w:rsidRPr="00A1036B">
        <w:rPr>
          <w:sz w:val="24"/>
          <w:szCs w:val="24"/>
        </w:rPr>
        <w:t xml:space="preserve"> 1x ročně je na základě statistického výkazu o výkonu sociálně-právní ochrany dětí zjišťován počet rodin</w:t>
      </w:r>
      <w:r w:rsidR="00282DE8">
        <w:rPr>
          <w:sz w:val="24"/>
          <w:szCs w:val="24"/>
        </w:rPr>
        <w:t xml:space="preserve"> a náročnost řešených kauz</w:t>
      </w:r>
      <w:r w:rsidR="00282DE8" w:rsidRPr="00A1036B">
        <w:rPr>
          <w:sz w:val="24"/>
          <w:szCs w:val="24"/>
        </w:rPr>
        <w:t xml:space="preserve"> na jednoho zaměstnance.</w:t>
      </w: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b/>
          <w:sz w:val="24"/>
          <w:szCs w:val="24"/>
        </w:rPr>
        <w:t>Náročnost je</w:t>
      </w:r>
      <w:r w:rsidRPr="00A1036B">
        <w:rPr>
          <w:sz w:val="24"/>
          <w:szCs w:val="24"/>
        </w:rPr>
        <w:t xml:space="preserve"> dána zejména:</w:t>
      </w:r>
    </w:p>
    <w:p w:rsidR="00A1036B" w:rsidRPr="00A1036B" w:rsidRDefault="00A1036B" w:rsidP="00A1036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akutní nutností řešit situaci dítěte – viz S 8b – IHNED</w:t>
      </w:r>
    </w:p>
    <w:p w:rsidR="00A1036B" w:rsidRDefault="00A1036B" w:rsidP="00A1036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dlouhodobá zátěžová komunikace s</w:t>
      </w:r>
      <w:r w:rsidR="00282DE8">
        <w:rPr>
          <w:sz w:val="24"/>
          <w:szCs w:val="24"/>
        </w:rPr>
        <w:t> </w:t>
      </w:r>
      <w:r w:rsidRPr="00A1036B">
        <w:rPr>
          <w:sz w:val="24"/>
          <w:szCs w:val="24"/>
        </w:rPr>
        <w:t>klientem</w:t>
      </w:r>
      <w:r w:rsidR="00282DE8">
        <w:rPr>
          <w:sz w:val="24"/>
          <w:szCs w:val="24"/>
        </w:rPr>
        <w:t>,</w:t>
      </w:r>
      <w:r w:rsidRPr="00A1036B">
        <w:rPr>
          <w:sz w:val="24"/>
          <w:szCs w:val="24"/>
        </w:rPr>
        <w:t xml:space="preserve"> vysoký počet intervencí v jeho rodině</w:t>
      </w:r>
      <w:r w:rsidR="00282DE8">
        <w:rPr>
          <w:sz w:val="24"/>
          <w:szCs w:val="24"/>
        </w:rPr>
        <w:t>,</w:t>
      </w:r>
    </w:p>
    <w:p w:rsidR="00282DE8" w:rsidRPr="00A1036B" w:rsidRDefault="00282DE8" w:rsidP="00282DE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řešení opakovaných stížností.</w:t>
      </w:r>
    </w:p>
    <w:p w:rsidR="00A1036B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sz w:val="24"/>
          <w:szCs w:val="24"/>
        </w:rPr>
        <w:t>K posouzení náročnosti zatížení zaměstnance a na jeho podporu lze využít kazuistického semináře na pracovišti. Podnět k jeho uspořádání je oprávněn podat každý zaměstnanec dle své vlastní potřeby.</w:t>
      </w:r>
    </w:p>
    <w:p w:rsidR="00717AF2" w:rsidRPr="00A1036B" w:rsidRDefault="00A1036B" w:rsidP="00A1036B">
      <w:pPr>
        <w:jc w:val="both"/>
        <w:rPr>
          <w:sz w:val="24"/>
          <w:szCs w:val="24"/>
        </w:rPr>
      </w:pPr>
      <w:r w:rsidRPr="00A1036B">
        <w:rPr>
          <w:sz w:val="24"/>
          <w:szCs w:val="24"/>
        </w:rPr>
        <w:t xml:space="preserve">Další možností ke snížení zátěže je uspořádání případové konzultace odborníků, </w:t>
      </w:r>
      <w:proofErr w:type="spellStart"/>
      <w:r w:rsidRPr="00A1036B">
        <w:rPr>
          <w:sz w:val="24"/>
          <w:szCs w:val="24"/>
        </w:rPr>
        <w:t>intervizní</w:t>
      </w:r>
      <w:proofErr w:type="spellEnd"/>
      <w:r w:rsidRPr="00A1036B">
        <w:rPr>
          <w:sz w:val="24"/>
          <w:szCs w:val="24"/>
        </w:rPr>
        <w:t xml:space="preserve"> setkání zaměstnanců na pracovišti, metodická podpora na pracovišti vedoucím zaměstnancem, případně metodiky pracoviště nebo nadřízeného orgánu.</w:t>
      </w:r>
    </w:p>
    <w:sectPr w:rsidR="00717AF2" w:rsidRPr="00A1036B" w:rsidSect="00F540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B8" w:rsidRDefault="005812B8" w:rsidP="00F5407A">
      <w:pPr>
        <w:spacing w:after="0" w:line="240" w:lineRule="auto"/>
      </w:pPr>
      <w:r>
        <w:separator/>
      </w:r>
    </w:p>
  </w:endnote>
  <w:endnote w:type="continuationSeparator" w:id="0">
    <w:p w:rsidR="005812B8" w:rsidRDefault="005812B8" w:rsidP="00F5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131349"/>
      <w:docPartObj>
        <w:docPartGallery w:val="Page Numbers (Bottom of Page)"/>
        <w:docPartUnique/>
      </w:docPartObj>
    </w:sdtPr>
    <w:sdtEndPr/>
    <w:sdtContent>
      <w:p w:rsidR="00F5407A" w:rsidRDefault="00F5407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C0">
          <w:rPr>
            <w:noProof/>
          </w:rPr>
          <w:t>5</w:t>
        </w:r>
        <w:r>
          <w:fldChar w:fldCharType="end"/>
        </w:r>
      </w:p>
    </w:sdtContent>
  </w:sdt>
  <w:p w:rsidR="00F5407A" w:rsidRDefault="00F540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B8" w:rsidRDefault="005812B8" w:rsidP="00F5407A">
      <w:pPr>
        <w:spacing w:after="0" w:line="240" w:lineRule="auto"/>
      </w:pPr>
      <w:r>
        <w:separator/>
      </w:r>
    </w:p>
  </w:footnote>
  <w:footnote w:type="continuationSeparator" w:id="0">
    <w:p w:rsidR="005812B8" w:rsidRDefault="005812B8" w:rsidP="00F5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7A" w:rsidRPr="00F5407A" w:rsidRDefault="00F5407A" w:rsidP="00F5407A">
    <w:pPr>
      <w:rPr>
        <w:sz w:val="24"/>
        <w:szCs w:val="24"/>
      </w:rPr>
    </w:pPr>
    <w:r w:rsidRPr="00F5407A">
      <w:rPr>
        <w:sz w:val="24"/>
        <w:szCs w:val="24"/>
      </w:rPr>
      <w:t xml:space="preserve">Orgán sociálně-právní ochrany dětí, Magistrát města Ostravy, </w:t>
    </w:r>
    <w:r w:rsidR="00CD1445">
      <w:rPr>
        <w:sz w:val="24"/>
        <w:szCs w:val="24"/>
      </w:rPr>
      <w:t xml:space="preserve">Prokešovo náměstí 8, </w:t>
    </w:r>
    <w:r w:rsidR="008271B9">
      <w:rPr>
        <w:sz w:val="24"/>
        <w:szCs w:val="24"/>
      </w:rPr>
      <w:t>Ostrava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FA6"/>
    <w:multiLevelType w:val="hybridMultilevel"/>
    <w:tmpl w:val="B200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5F0"/>
    <w:multiLevelType w:val="hybridMultilevel"/>
    <w:tmpl w:val="0D34D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B3FA1"/>
    <w:multiLevelType w:val="hybridMultilevel"/>
    <w:tmpl w:val="89782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0DAF"/>
    <w:multiLevelType w:val="hybridMultilevel"/>
    <w:tmpl w:val="24F412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51B"/>
    <w:multiLevelType w:val="hybridMultilevel"/>
    <w:tmpl w:val="CC080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C045C"/>
    <w:multiLevelType w:val="hybridMultilevel"/>
    <w:tmpl w:val="D95E9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F718A"/>
    <w:multiLevelType w:val="hybridMultilevel"/>
    <w:tmpl w:val="FB163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01B8"/>
    <w:multiLevelType w:val="hybridMultilevel"/>
    <w:tmpl w:val="3D94D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A2762"/>
    <w:multiLevelType w:val="hybridMultilevel"/>
    <w:tmpl w:val="3A425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68B9"/>
    <w:multiLevelType w:val="hybridMultilevel"/>
    <w:tmpl w:val="8BE8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153DE"/>
    <w:multiLevelType w:val="hybridMultilevel"/>
    <w:tmpl w:val="4DC4B7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8A7D3A"/>
    <w:multiLevelType w:val="hybridMultilevel"/>
    <w:tmpl w:val="CB4218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42791"/>
    <w:multiLevelType w:val="hybridMultilevel"/>
    <w:tmpl w:val="8752C650"/>
    <w:lvl w:ilvl="0" w:tplc="DC7AB4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5E55"/>
    <w:multiLevelType w:val="hybridMultilevel"/>
    <w:tmpl w:val="80606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3D6E"/>
    <w:multiLevelType w:val="hybridMultilevel"/>
    <w:tmpl w:val="ED407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C1"/>
    <w:rsid w:val="00141A78"/>
    <w:rsid w:val="00282DE8"/>
    <w:rsid w:val="00482798"/>
    <w:rsid w:val="005812B8"/>
    <w:rsid w:val="00624519"/>
    <w:rsid w:val="0068327A"/>
    <w:rsid w:val="00717AF2"/>
    <w:rsid w:val="007D1799"/>
    <w:rsid w:val="008271B9"/>
    <w:rsid w:val="00A1036B"/>
    <w:rsid w:val="00A366C6"/>
    <w:rsid w:val="00A42949"/>
    <w:rsid w:val="00C45B13"/>
    <w:rsid w:val="00CD1445"/>
    <w:rsid w:val="00CF3AB9"/>
    <w:rsid w:val="00D315C0"/>
    <w:rsid w:val="00D55AC1"/>
    <w:rsid w:val="00EB774B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07A"/>
  </w:style>
  <w:style w:type="paragraph" w:styleId="Zpat">
    <w:name w:val="footer"/>
    <w:basedOn w:val="Normln"/>
    <w:link w:val="ZpatChar"/>
    <w:uiPriority w:val="99"/>
    <w:unhideWhenUsed/>
    <w:rsid w:val="00F5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07A"/>
  </w:style>
  <w:style w:type="paragraph" w:styleId="Textbubliny">
    <w:name w:val="Balloon Text"/>
    <w:basedOn w:val="Normln"/>
    <w:link w:val="TextbublinyChar"/>
    <w:uiPriority w:val="99"/>
    <w:semiHidden/>
    <w:unhideWhenUsed/>
    <w:rsid w:val="00F5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0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4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07A"/>
  </w:style>
  <w:style w:type="paragraph" w:styleId="Zpat">
    <w:name w:val="footer"/>
    <w:basedOn w:val="Normln"/>
    <w:link w:val="ZpatChar"/>
    <w:uiPriority w:val="99"/>
    <w:unhideWhenUsed/>
    <w:rsid w:val="00F5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07A"/>
  </w:style>
  <w:style w:type="paragraph" w:styleId="Textbubliny">
    <w:name w:val="Balloon Text"/>
    <w:basedOn w:val="Normln"/>
    <w:link w:val="TextbublinyChar"/>
    <w:uiPriority w:val="99"/>
    <w:semiHidden/>
    <w:unhideWhenUsed/>
    <w:rsid w:val="00F5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0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4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Vašutová Kamila</dc:creator>
  <cp:lastModifiedBy>chytilovasa</cp:lastModifiedBy>
  <cp:revision>3</cp:revision>
  <dcterms:created xsi:type="dcterms:W3CDTF">2017-10-02T12:37:00Z</dcterms:created>
  <dcterms:modified xsi:type="dcterms:W3CDTF">2017-10-02T12:37:00Z</dcterms:modified>
</cp:coreProperties>
</file>