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73" w:rsidRDefault="00CB4E73" w:rsidP="00D4754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Pachové látky z lagun Ostramo</w:t>
      </w:r>
    </w:p>
    <w:p w:rsidR="00CB4E73" w:rsidRDefault="00CB4E73" w:rsidP="00D4754F">
      <w:pPr>
        <w:spacing w:after="0"/>
        <w:jc w:val="both"/>
        <w:rPr>
          <w:b/>
          <w:sz w:val="24"/>
          <w:szCs w:val="24"/>
        </w:rPr>
      </w:pPr>
    </w:p>
    <w:p w:rsidR="00CB4E73" w:rsidRPr="00D4754F" w:rsidRDefault="00CB4E73" w:rsidP="00EB11D5">
      <w:pPr>
        <w:spacing w:after="0"/>
        <w:jc w:val="both"/>
      </w:pPr>
      <w:r>
        <w:t xml:space="preserve">Pachy pocházející z lagun Ostramo jsou vícesložkovou směsí těkavých organických látek a  sloučenin síry (oxid siřičitý, sirovodík, merkaptany atd.). V konkrétních epizodách dominuje oxid siřičitý, který je poté nutno hodnotit jako chemické individuum. Charakter zápachu z lagun může být proto od olejnatého, dehtového až po sirný. Působení celé směsi při nízkých koncentracích na zdraví je složité, v případě, že převládne některá konkrétní látka, je nutné posouzení vzhledem k limitům, resp. určení zdravotního rizika. V každém případě jsou však pachové látky z lagun významným stresovým faktorem a snižují životní pohodu. </w:t>
      </w:r>
    </w:p>
    <w:p w:rsidR="00CB4E73" w:rsidRDefault="00CB4E73" w:rsidP="00EB11D5">
      <w:pPr>
        <w:spacing w:after="0"/>
        <w:jc w:val="both"/>
        <w:rPr>
          <w:b/>
          <w:sz w:val="24"/>
          <w:szCs w:val="24"/>
        </w:rPr>
      </w:pPr>
    </w:p>
    <w:p w:rsidR="00CB4E73" w:rsidRPr="00EB11D5" w:rsidRDefault="00CB4E73" w:rsidP="00EB11D5">
      <w:pPr>
        <w:spacing w:after="0"/>
        <w:jc w:val="both"/>
      </w:pPr>
      <w:r w:rsidRPr="00EB11D5">
        <w:t>K šíření pachových látek v současnosti přispívá i počasí s velkými tep</w:t>
      </w:r>
      <w:r>
        <w:t>lotními změnami den/ noc (až 20</w:t>
      </w:r>
      <w:r w:rsidRPr="00122EAB">
        <w:rPr>
          <w:vertAlign w:val="superscript"/>
        </w:rPr>
        <w:t>0</w:t>
      </w:r>
      <w:r w:rsidRPr="00EB11D5">
        <w:t xml:space="preserve"> C). Zároveň v noci klesá rychlost větru až k bezvětří a emitované látky se tak hromadí. Pak se mohou přesunout ve vysoké koncentraci ve směru větru.</w:t>
      </w:r>
    </w:p>
    <w:p w:rsidR="00CB4E73" w:rsidRDefault="00CB4E73" w:rsidP="00EB11D5">
      <w:pPr>
        <w:spacing w:after="0"/>
        <w:jc w:val="both"/>
        <w:rPr>
          <w:sz w:val="24"/>
          <w:szCs w:val="24"/>
        </w:rPr>
      </w:pPr>
    </w:p>
    <w:p w:rsidR="00CB4E73" w:rsidRDefault="00CB4E73" w:rsidP="00EB11D5">
      <w:pPr>
        <w:pStyle w:val="PlainText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38079B">
        <w:rPr>
          <w:rFonts w:ascii="Calibri" w:hAnsi="Calibri"/>
          <w:sz w:val="22"/>
          <w:szCs w:val="22"/>
        </w:rPr>
        <w:t xml:space="preserve">roblematika obtěžování pachovými látkami je </w:t>
      </w:r>
      <w:r>
        <w:rPr>
          <w:rFonts w:ascii="Calibri" w:hAnsi="Calibri"/>
          <w:sz w:val="22"/>
          <w:szCs w:val="22"/>
        </w:rPr>
        <w:t xml:space="preserve">tedy </w:t>
      </w:r>
      <w:r w:rsidRPr="0038079B">
        <w:rPr>
          <w:rFonts w:ascii="Calibri" w:hAnsi="Calibri"/>
          <w:sz w:val="22"/>
          <w:szCs w:val="22"/>
        </w:rPr>
        <w:t>velmi komplikovaná. Prakticky vždy se jedná o směs látek, která se chová jinak než jednotlivé chemické látky. Jednotlivé složky směsi se kombinují a výsledek není možné předpokládat. Vnímání p</w:t>
      </w:r>
      <w:r>
        <w:rPr>
          <w:rFonts w:ascii="Calibri" w:hAnsi="Calibri"/>
          <w:sz w:val="22"/>
          <w:szCs w:val="22"/>
        </w:rPr>
        <w:t>achových látek má pak výrazně hé</w:t>
      </w:r>
      <w:r w:rsidRPr="0038079B">
        <w:rPr>
          <w:rFonts w:ascii="Calibri" w:hAnsi="Calibri"/>
          <w:sz w:val="22"/>
          <w:szCs w:val="22"/>
        </w:rPr>
        <w:t xml:space="preserve">donický charakter a každý jedinec je jinak vnímavý. </w:t>
      </w:r>
      <w:r>
        <w:rPr>
          <w:rFonts w:ascii="Calibri" w:hAnsi="Calibri"/>
          <w:sz w:val="22"/>
          <w:szCs w:val="22"/>
        </w:rPr>
        <w:t>50 pachových jednotek - OUe/m</w:t>
      </w:r>
      <w:r w:rsidRPr="00122EAB">
        <w:rPr>
          <w:rFonts w:ascii="Calibri" w:hAnsi="Calibri"/>
          <w:sz w:val="22"/>
          <w:szCs w:val="22"/>
          <w:vertAlign w:val="superscript"/>
        </w:rPr>
        <w:t>3</w:t>
      </w:r>
      <w:r>
        <w:rPr>
          <w:rFonts w:ascii="Calibri" w:hAnsi="Calibri"/>
          <w:sz w:val="22"/>
          <w:szCs w:val="22"/>
        </w:rPr>
        <w:t xml:space="preserve"> může vnímat jeden člověk jako nesnesitelný zápach a druhý jako přijatelný. Rovněž 50 OUe/m</w:t>
      </w:r>
      <w:r w:rsidRPr="00122EAB">
        <w:rPr>
          <w:rFonts w:ascii="Calibri" w:hAnsi="Calibri"/>
          <w:sz w:val="22"/>
          <w:szCs w:val="22"/>
          <w:vertAlign w:val="superscript"/>
        </w:rPr>
        <w:t>3</w:t>
      </w:r>
      <w:r>
        <w:rPr>
          <w:rFonts w:ascii="Calibri" w:hAnsi="Calibri"/>
          <w:sz w:val="22"/>
          <w:szCs w:val="22"/>
        </w:rPr>
        <w:t xml:space="preserve"> pocházejících z lagun se nedá srovnat s 50 OUe/m</w:t>
      </w:r>
      <w:r w:rsidRPr="00122EAB">
        <w:rPr>
          <w:rFonts w:ascii="Calibri" w:hAnsi="Calibri"/>
          <w:sz w:val="22"/>
          <w:szCs w:val="22"/>
          <w:vertAlign w:val="superscript"/>
        </w:rPr>
        <w:t>3</w:t>
      </w:r>
      <w:r>
        <w:rPr>
          <w:rFonts w:ascii="Calibri" w:hAnsi="Calibri"/>
          <w:sz w:val="22"/>
          <w:szCs w:val="22"/>
        </w:rPr>
        <w:t xml:space="preserve"> pocházejících z čokoládovny. </w:t>
      </w:r>
      <w:r w:rsidRPr="0038079B">
        <w:rPr>
          <w:rFonts w:ascii="Calibri" w:hAnsi="Calibri"/>
          <w:sz w:val="22"/>
          <w:szCs w:val="22"/>
        </w:rPr>
        <w:t>Zdravotní rizika z pachových látek jsou vnímána spíše jako stresový faktor. Přímý dopad na zdraví nebyl prokázán.</w:t>
      </w:r>
      <w:r>
        <w:rPr>
          <w:rFonts w:ascii="Calibri" w:hAnsi="Calibri"/>
          <w:sz w:val="22"/>
          <w:szCs w:val="22"/>
        </w:rPr>
        <w:t xml:space="preserve"> Konkrétní látka může být vnímána intenzivně, ale  její účinek na zdraví nemusí být významný (nízký čichový práh např. sirovodík).</w:t>
      </w:r>
    </w:p>
    <w:p w:rsidR="00CB4E73" w:rsidRDefault="00CB4E73" w:rsidP="00EB11D5">
      <w:pPr>
        <w:pStyle w:val="PlainText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 sirovodíku ve vyšších koncentracích jsou popisovány symptomy: </w:t>
      </w:r>
    </w:p>
    <w:p w:rsidR="00CB4E73" w:rsidRDefault="00CB4E73" w:rsidP="00EB11D5">
      <w:pPr>
        <w:pStyle w:val="PlainText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Dráždění v krku, zhoršené dýchání, tlak na plících kašel, bolesti hlavy, zmatek, nespavost.</w:t>
      </w:r>
    </w:p>
    <w:p w:rsidR="00CB4E73" w:rsidRDefault="00CB4E73" w:rsidP="00EB11D5">
      <w:pPr>
        <w:pStyle w:val="PlainText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Oxid siřičitý navíc dráždí oči, nos a kůži.</w:t>
      </w:r>
    </w:p>
    <w:p w:rsidR="00CB4E73" w:rsidRDefault="00CB4E73" w:rsidP="00EB11D5">
      <w:pPr>
        <w:pStyle w:val="PlainText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Všechny intenzivní negativně vnímané pachy snižují kvalitu života.</w:t>
      </w:r>
    </w:p>
    <w:p w:rsidR="00CB4E73" w:rsidRPr="00DD2893" w:rsidRDefault="00CB4E73" w:rsidP="00D4754F">
      <w:pPr>
        <w:spacing w:after="0"/>
        <w:jc w:val="both"/>
        <w:rPr>
          <w:sz w:val="24"/>
          <w:szCs w:val="24"/>
        </w:rPr>
      </w:pPr>
    </w:p>
    <w:p w:rsidR="00CB4E73" w:rsidRDefault="00CB4E73" w:rsidP="00D4754F">
      <w:pPr>
        <w:spacing w:after="0"/>
        <w:jc w:val="both"/>
        <w:rPr>
          <w:b/>
          <w:sz w:val="24"/>
          <w:szCs w:val="24"/>
        </w:rPr>
      </w:pPr>
      <w:r w:rsidRPr="003E2483">
        <w:rPr>
          <w:b/>
          <w:sz w:val="24"/>
          <w:szCs w:val="24"/>
        </w:rPr>
        <w:t>Co je to pach a jak funguje</w:t>
      </w:r>
    </w:p>
    <w:p w:rsidR="00CB4E73" w:rsidRPr="003E2483" w:rsidRDefault="00CB4E73" w:rsidP="00D4754F">
      <w:pPr>
        <w:spacing w:after="0"/>
        <w:jc w:val="both"/>
        <w:rPr>
          <w:b/>
          <w:sz w:val="24"/>
          <w:szCs w:val="24"/>
        </w:rPr>
      </w:pPr>
    </w:p>
    <w:p w:rsidR="00CB4E73" w:rsidRDefault="00CB4E73" w:rsidP="003E2483">
      <w:pPr>
        <w:spacing w:after="0"/>
        <w:jc w:val="center"/>
        <w:rPr>
          <w:b/>
        </w:rPr>
      </w:pPr>
      <w:r w:rsidRPr="00127D8F">
        <w:rPr>
          <w:b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alt="1099660864" style="width:189.75pt;height:232.5pt;visibility:visible" o:bordertopcolor="#fc0" o:borderleftcolor="#fc0" o:borderbottomcolor="#fc0" o:borderrightcolor="#fc0">
            <v:imagedata r:id="rId5" o:title=""/>
            <w10:bordertop type="single" width="16"/>
            <w10:borderleft type="single" width="16"/>
            <w10:borderbottom type="single" width="16"/>
            <w10:borderright type="single" width="16"/>
          </v:shape>
        </w:pict>
      </w:r>
    </w:p>
    <w:p w:rsidR="00CB4E73" w:rsidRPr="00D4754F" w:rsidRDefault="00CB4E73" w:rsidP="00D4754F">
      <w:pPr>
        <w:spacing w:after="0"/>
        <w:jc w:val="both"/>
        <w:rPr>
          <w:b/>
        </w:rPr>
      </w:pPr>
    </w:p>
    <w:p w:rsidR="00CB4E73" w:rsidRDefault="00CB4E73" w:rsidP="00D4754F">
      <w:pPr>
        <w:spacing w:after="0"/>
        <w:jc w:val="both"/>
      </w:pPr>
      <w:r w:rsidRPr="00D4754F">
        <w:t xml:space="preserve">Jednotlivé vůně a pachy jsou zjišťovány čichovými nervy, které v podobě chloupků vybíhají do horní části nosní dutiny a vstřebávají a analyzují molekuly z vdechnutého vzduchu. Čichové buňky jsou zvlhčovány sekretem čichových žlázek, jsou drážděny plynnými látkami ve vdechovaném vzduchu, které se v sekretu </w:t>
      </w:r>
      <w:r w:rsidRPr="00D4754F">
        <w:rPr>
          <w:b/>
          <w:bCs/>
        </w:rPr>
        <w:t>rozpouštějí</w:t>
      </w:r>
      <w:r w:rsidRPr="00D4754F">
        <w:t xml:space="preserve">, a teprve potom je vjem snímán. V hloubce sliznice vytvářejí čichové buňky ze svých vodivých výběžků pleteň, z níž vznikají vlákna čichového nervu. Ten vede čichový vjem do čichového bulbu a odtud do čichového centra mozku na spodině čelního laloku koncového mozku. Vyhodnocení vjemu je složitý proces. Přenesený signál musí být porovnán s tím, co již je uloženo </w:t>
      </w:r>
      <w:r w:rsidRPr="00D4754F">
        <w:rPr>
          <w:b/>
          <w:bCs/>
        </w:rPr>
        <w:t>v paměti</w:t>
      </w:r>
      <w:r w:rsidRPr="00D4754F">
        <w:t xml:space="preserve">, abychom byli schopni říci, zda je nám vůně příjemná, co právě cítíme nebo které ze známých vůní je to, co právě cítíme nejvíce podobné. </w:t>
      </w:r>
    </w:p>
    <w:p w:rsidR="00CB4E73" w:rsidRPr="00D4754F" w:rsidRDefault="00CB4E73" w:rsidP="00D4754F">
      <w:pPr>
        <w:spacing w:after="0"/>
        <w:jc w:val="both"/>
      </w:pPr>
    </w:p>
    <w:p w:rsidR="00CB4E73" w:rsidRPr="00D4754F" w:rsidRDefault="00CB4E73" w:rsidP="00D4754F">
      <w:pPr>
        <w:numPr>
          <w:ilvl w:val="0"/>
          <w:numId w:val="1"/>
        </w:numPr>
        <w:spacing w:after="0"/>
        <w:jc w:val="both"/>
      </w:pPr>
      <w:r w:rsidRPr="00D4754F">
        <w:t xml:space="preserve">člověk patří mezi tzv. mikrosomaty, tj. živočichy se </w:t>
      </w:r>
      <w:r w:rsidRPr="00D4754F">
        <w:rPr>
          <w:b/>
          <w:bCs/>
        </w:rPr>
        <w:t xml:space="preserve">slabě vyvinutým čichem </w:t>
      </w:r>
    </w:p>
    <w:p w:rsidR="00CB4E73" w:rsidRPr="00D4754F" w:rsidRDefault="00CB4E73" w:rsidP="00D4754F">
      <w:pPr>
        <w:numPr>
          <w:ilvl w:val="0"/>
          <w:numId w:val="1"/>
        </w:numPr>
        <w:spacing w:after="0"/>
        <w:jc w:val="both"/>
      </w:pPr>
      <w:r w:rsidRPr="00D4754F">
        <w:t xml:space="preserve"> jsme schopni rozlišovat látky v koncentracích, které jsou běžnými fyzikálními a chemickými metodami nezjistitelné. U růžového oleje je to například již množství </w:t>
      </w:r>
      <w:r w:rsidRPr="00D4754F">
        <w:rPr>
          <w:b/>
          <w:bCs/>
        </w:rPr>
        <w:t>0,00000002 mg v jednom litru</w:t>
      </w:r>
      <w:r w:rsidRPr="00D4754F">
        <w:t xml:space="preserve"> vzduchu.</w:t>
      </w:r>
    </w:p>
    <w:p w:rsidR="00CB4E73" w:rsidRPr="00D4754F" w:rsidRDefault="00CB4E73" w:rsidP="00D4754F">
      <w:pPr>
        <w:numPr>
          <w:ilvl w:val="0"/>
          <w:numId w:val="1"/>
        </w:numPr>
        <w:spacing w:after="0"/>
        <w:jc w:val="both"/>
      </w:pPr>
      <w:r w:rsidRPr="00D4754F">
        <w:t xml:space="preserve"> čich např. u vlka je asi </w:t>
      </w:r>
      <w:r w:rsidRPr="00D4754F">
        <w:rPr>
          <w:b/>
          <w:bCs/>
        </w:rPr>
        <w:t>milionkrát lepší</w:t>
      </w:r>
      <w:r w:rsidRPr="00D4754F">
        <w:t>, než u člověka. Čichová tkáň vlka zabírá plochu 14 x větší, než čichová tkáň člověka a obsahuje asi 200 mil. smyslových buněk, zatímco lidská pouze 5 mil.!</w:t>
      </w:r>
    </w:p>
    <w:p w:rsidR="00CB4E73" w:rsidRPr="00D4754F" w:rsidRDefault="00CB4E73" w:rsidP="00D4754F">
      <w:pPr>
        <w:numPr>
          <w:ilvl w:val="0"/>
          <w:numId w:val="1"/>
        </w:numPr>
        <w:spacing w:after="0"/>
        <w:jc w:val="both"/>
      </w:pPr>
      <w:r w:rsidRPr="00D4754F">
        <w:t xml:space="preserve"> člověk je schopen rozeznat </w:t>
      </w:r>
      <w:r w:rsidRPr="00D4754F">
        <w:rPr>
          <w:b/>
          <w:bCs/>
        </w:rPr>
        <w:t>mnohem více odlišných vůní</w:t>
      </w:r>
      <w:r w:rsidRPr="00D4754F">
        <w:t xml:space="preserve">, než kolik dokáže rozlišit zvuků  </w:t>
      </w:r>
    </w:p>
    <w:p w:rsidR="00CB4E73" w:rsidRPr="00D4754F" w:rsidRDefault="00CB4E73" w:rsidP="00D4754F">
      <w:pPr>
        <w:numPr>
          <w:ilvl w:val="0"/>
          <w:numId w:val="2"/>
        </w:numPr>
        <w:spacing w:after="0"/>
        <w:jc w:val="both"/>
      </w:pPr>
      <w:r w:rsidRPr="00D4754F">
        <w:t>člověk dokáže rozlišit několik tisíc čichových kvalit, ale vůně a pachy se často nedají jako podněty přesně klasifikovat</w:t>
      </w:r>
    </w:p>
    <w:p w:rsidR="00CB4E73" w:rsidRPr="00D4754F" w:rsidRDefault="00CB4E73" w:rsidP="00D4754F">
      <w:pPr>
        <w:numPr>
          <w:ilvl w:val="0"/>
          <w:numId w:val="2"/>
        </w:numPr>
        <w:spacing w:after="0"/>
        <w:jc w:val="both"/>
      </w:pPr>
      <w:r w:rsidRPr="00D4754F">
        <w:t xml:space="preserve"> tzv. čisté čichové pocity poskytuje přibližně jen padesát látek, ty je možné rozdělit na vůně či pachy:</w:t>
      </w:r>
    </w:p>
    <w:p w:rsidR="00CB4E73" w:rsidRPr="00D4754F" w:rsidRDefault="00CB4E73" w:rsidP="00D4754F">
      <w:pPr>
        <w:spacing w:after="0"/>
        <w:jc w:val="both"/>
      </w:pPr>
      <w:r w:rsidRPr="00D4754F">
        <w:t xml:space="preserve">     </w:t>
      </w:r>
      <w:r>
        <w:tab/>
      </w:r>
      <w:r>
        <w:tab/>
      </w:r>
      <w:r w:rsidRPr="00D4754F">
        <w:rPr>
          <w:i/>
          <w:iCs/>
        </w:rPr>
        <w:t xml:space="preserve">kořenné, květinové, ovocné, pryskyřičné, hnilobné a spáleninové </w:t>
      </w:r>
    </w:p>
    <w:p w:rsidR="00CB4E73" w:rsidRDefault="00CB4E73" w:rsidP="00D4754F">
      <w:pPr>
        <w:numPr>
          <w:ilvl w:val="0"/>
          <w:numId w:val="3"/>
        </w:numPr>
        <w:spacing w:after="0"/>
        <w:jc w:val="both"/>
      </w:pPr>
      <w:r w:rsidRPr="00D4754F">
        <w:t xml:space="preserve"> většina látek svou vůní vyvolává pocity smíšené a velmi často spojené s drážděním dalších čidel, např. chuťových</w:t>
      </w:r>
    </w:p>
    <w:p w:rsidR="00CB4E73" w:rsidRPr="00D4754F" w:rsidRDefault="00CB4E73" w:rsidP="00D4754F">
      <w:pPr>
        <w:numPr>
          <w:ilvl w:val="0"/>
          <w:numId w:val="3"/>
        </w:numPr>
        <w:spacing w:after="0"/>
        <w:jc w:val="both"/>
      </w:pPr>
      <w:r w:rsidRPr="00D4754F">
        <w:t xml:space="preserve"> ženy mají v průměru až o 20 procent jemnější čich a tuto přednost si uchovávají po celý život, geneticky predisponují jemnějším čichovým smyslem, věnují čichovým stimulům větší pozornost a vnímají v širším spektru</w:t>
      </w:r>
    </w:p>
    <w:p w:rsidR="00CB4E73" w:rsidRDefault="00CB4E73" w:rsidP="00D4754F">
      <w:pPr>
        <w:spacing w:after="0"/>
        <w:jc w:val="both"/>
        <w:rPr>
          <w:b/>
          <w:bCs/>
        </w:rPr>
      </w:pPr>
    </w:p>
    <w:p w:rsidR="00CB4E73" w:rsidRPr="00D4754F" w:rsidRDefault="00CB4E73" w:rsidP="00D4754F">
      <w:pPr>
        <w:spacing w:after="0"/>
        <w:jc w:val="both"/>
      </w:pPr>
      <w:r w:rsidRPr="00D4754F">
        <w:rPr>
          <w:b/>
          <w:bCs/>
        </w:rPr>
        <w:t>Trvalou ztrátu čichu</w:t>
      </w:r>
      <w:r w:rsidRPr="00D4754F">
        <w:t xml:space="preserve"> mohou způsobit také výpary některých chemických látek, a to někdy již po jednorázovém působení. Mezi takové chemikálie patří např. :</w:t>
      </w:r>
    </w:p>
    <w:p w:rsidR="00CB4E73" w:rsidRPr="00D4754F" w:rsidRDefault="00CB4E73" w:rsidP="00D4754F">
      <w:pPr>
        <w:pStyle w:val="ListParagraph"/>
        <w:numPr>
          <w:ilvl w:val="0"/>
          <w:numId w:val="3"/>
        </w:numPr>
        <w:spacing w:after="0"/>
        <w:jc w:val="both"/>
      </w:pPr>
      <w:r w:rsidRPr="00D4754F">
        <w:t>butylenglykol, kyselina benzoová, oxid siřičitý nebo fosforofluoridy</w:t>
      </w:r>
      <w:r w:rsidRPr="00D4754F">
        <w:rPr>
          <w:b/>
          <w:bCs/>
        </w:rPr>
        <w:t xml:space="preserve"> </w:t>
      </w:r>
    </w:p>
    <w:p w:rsidR="00CB4E73" w:rsidRPr="00D4754F" w:rsidRDefault="00CB4E73" w:rsidP="00D4754F">
      <w:pPr>
        <w:spacing w:after="0"/>
        <w:jc w:val="both"/>
      </w:pPr>
      <w:r w:rsidRPr="00D4754F">
        <w:rPr>
          <w:b/>
          <w:bCs/>
        </w:rPr>
        <w:t>Přechodnou ztrátu čichu</w:t>
      </w:r>
      <w:r w:rsidRPr="00D4754F">
        <w:t xml:space="preserve"> může vyvolat např.:</w:t>
      </w:r>
    </w:p>
    <w:p w:rsidR="00CB4E73" w:rsidRPr="00D4754F" w:rsidRDefault="00CB4E73" w:rsidP="00D4754F">
      <w:pPr>
        <w:pStyle w:val="ListParagraph"/>
        <w:numPr>
          <w:ilvl w:val="0"/>
          <w:numId w:val="3"/>
        </w:numPr>
        <w:spacing w:after="0"/>
        <w:jc w:val="both"/>
      </w:pPr>
      <w:r w:rsidRPr="00D4754F">
        <w:t>sirovodík, sirouhlík, kyselina sírová a formaldehyd</w:t>
      </w:r>
      <w:r w:rsidRPr="00D4754F">
        <w:rPr>
          <w:b/>
          <w:bCs/>
        </w:rPr>
        <w:t xml:space="preserve"> </w:t>
      </w:r>
    </w:p>
    <w:p w:rsidR="00CB4E73" w:rsidRDefault="00CB4E73" w:rsidP="00D4754F">
      <w:pPr>
        <w:spacing w:after="0"/>
        <w:jc w:val="both"/>
      </w:pPr>
    </w:p>
    <w:p w:rsidR="00CB4E73" w:rsidRPr="00D4754F" w:rsidRDefault="00CB4E73" w:rsidP="00D4754F">
      <w:pPr>
        <w:spacing w:after="0"/>
        <w:jc w:val="both"/>
      </w:pPr>
      <w:r w:rsidRPr="00D4754F">
        <w:t xml:space="preserve">Čich se velmi snadno </w:t>
      </w:r>
      <w:r w:rsidRPr="00D4754F">
        <w:rPr>
          <w:b/>
          <w:bCs/>
        </w:rPr>
        <w:t>adaptuje</w:t>
      </w:r>
      <w:r w:rsidRPr="00D4754F">
        <w:t xml:space="preserve">, a proto za nějaký čas velmi snadno snášíme i velmi nepříjemné pachy. Jsou-li všechny čichové buňky dlouhodobě vystaveny určité vůni, přestanou vysílat signály do mozku. </w:t>
      </w:r>
    </w:p>
    <w:p w:rsidR="00CB4E73" w:rsidRPr="00D4754F" w:rsidRDefault="00CB4E73" w:rsidP="00D4754F">
      <w:pPr>
        <w:numPr>
          <w:ilvl w:val="0"/>
          <w:numId w:val="4"/>
        </w:numPr>
        <w:spacing w:after="0"/>
        <w:jc w:val="both"/>
      </w:pPr>
      <w:r w:rsidRPr="00D4754F">
        <w:t>příjemné či nepříjemné vůně vyvolávají u jedince prospěšné nebo neprospěšné efekty</w:t>
      </w:r>
    </w:p>
    <w:p w:rsidR="00CB4E73" w:rsidRPr="00D4754F" w:rsidRDefault="00CB4E73" w:rsidP="00D4754F">
      <w:pPr>
        <w:numPr>
          <w:ilvl w:val="0"/>
          <w:numId w:val="4"/>
        </w:numPr>
        <w:spacing w:after="0"/>
        <w:jc w:val="both"/>
      </w:pPr>
      <w:r>
        <w:t>hé</w:t>
      </w:r>
      <w:r w:rsidRPr="00D4754F">
        <w:t>donickou hodnotu vní</w:t>
      </w:r>
      <w:r>
        <w:t>má každý jedinec subjektivně, zá</w:t>
      </w:r>
      <w:r w:rsidRPr="00D4754F">
        <w:t>visí na tom zda vůni známe nebo je pro nás cizí, jaká byla naše dřívější reakce, jaké podobenství v nás vzbuzuje, co s ní spojujeme</w:t>
      </w:r>
    </w:p>
    <w:p w:rsidR="00CB4E73" w:rsidRPr="00D4754F" w:rsidRDefault="00CB4E73" w:rsidP="00D4754F">
      <w:pPr>
        <w:numPr>
          <w:ilvl w:val="0"/>
          <w:numId w:val="4"/>
        </w:numPr>
        <w:spacing w:after="0"/>
        <w:jc w:val="both"/>
      </w:pPr>
      <w:r w:rsidRPr="00D4754F">
        <w:t>signální mechanismy v čichovém systému zasahují ty části</w:t>
      </w:r>
      <w:r>
        <w:t xml:space="preserve"> </w:t>
      </w:r>
      <w:r w:rsidRPr="00D4754F">
        <w:t>mozku, které jsou odpovědné za naši ostražitost, pozornost, paměť a učení, náladu a pocity co dobře voní je dobré pro člověka</w:t>
      </w:r>
    </w:p>
    <w:p w:rsidR="00CB4E73" w:rsidRPr="00D4754F" w:rsidRDefault="00CB4E73" w:rsidP="00D4754F">
      <w:pPr>
        <w:numPr>
          <w:ilvl w:val="0"/>
          <w:numId w:val="4"/>
        </w:numPr>
        <w:spacing w:after="0"/>
        <w:jc w:val="both"/>
      </w:pPr>
      <w:r w:rsidRPr="00D4754F">
        <w:t>pokud jsem obklopeni krásnými vůněmi cítíme se přirozeně lépe, zlepšuje se náš celkový zdravotní stav, vytváří se prostředí harmonie a pohody</w:t>
      </w:r>
    </w:p>
    <w:p w:rsidR="00CB4E73" w:rsidRPr="00D4754F" w:rsidRDefault="00CB4E73" w:rsidP="00D4754F">
      <w:pPr>
        <w:numPr>
          <w:ilvl w:val="0"/>
          <w:numId w:val="4"/>
        </w:numPr>
        <w:spacing w:after="0"/>
        <w:jc w:val="both"/>
      </w:pPr>
      <w:r w:rsidRPr="00D4754F">
        <w:t>dochází k pozitivním nebo negativním neurochemickým pochodům</w:t>
      </w:r>
    </w:p>
    <w:p w:rsidR="00CB4E73" w:rsidRPr="00D4754F" w:rsidRDefault="00CB4E73" w:rsidP="00D4754F">
      <w:pPr>
        <w:numPr>
          <w:ilvl w:val="0"/>
          <w:numId w:val="4"/>
        </w:numPr>
        <w:spacing w:after="0"/>
        <w:jc w:val="both"/>
      </w:pPr>
      <w:r w:rsidRPr="00D4754F">
        <w:t>čím příjemnější je okolní prostředí, tím vstřícnější je chování uvnitř něho</w:t>
      </w:r>
      <w:r>
        <w:t xml:space="preserve"> </w:t>
      </w:r>
      <w:r w:rsidRPr="00D4754F">
        <w:t>působením libých stimulů je podporována tvorba nových mozkových buněk</w:t>
      </w:r>
      <w:r>
        <w:t xml:space="preserve"> </w:t>
      </w:r>
      <w:r w:rsidRPr="00D4754F">
        <w:t>stres tuto tvorbu naopak potlačuje</w:t>
      </w:r>
    </w:p>
    <w:p w:rsidR="00CB4E73" w:rsidRPr="00D4754F" w:rsidRDefault="00CB4E73" w:rsidP="00D4754F">
      <w:pPr>
        <w:numPr>
          <w:ilvl w:val="0"/>
          <w:numId w:val="5"/>
        </w:numPr>
        <w:spacing w:after="0"/>
        <w:jc w:val="both"/>
      </w:pPr>
      <w:r w:rsidRPr="00D4754F">
        <w:t>je-li prostředí zamořeno nepříjemným zápachem, vyvolává okamžitou reakci odporu</w:t>
      </w:r>
    </w:p>
    <w:p w:rsidR="00CB4E73" w:rsidRPr="00D4754F" w:rsidRDefault="00CB4E73" w:rsidP="00D4754F">
      <w:pPr>
        <w:numPr>
          <w:ilvl w:val="0"/>
          <w:numId w:val="5"/>
        </w:numPr>
        <w:spacing w:after="0"/>
        <w:jc w:val="both"/>
      </w:pPr>
      <w:r w:rsidRPr="00D4754F">
        <w:t>tyto projevy afinity nebo averze lze pozorovat i při osobním parfémování, provonění bydlišť, pracovišť atd.</w:t>
      </w:r>
    </w:p>
    <w:p w:rsidR="00CB4E73" w:rsidRPr="00D4754F" w:rsidRDefault="00CB4E73" w:rsidP="00D4754F">
      <w:pPr>
        <w:numPr>
          <w:ilvl w:val="0"/>
          <w:numId w:val="5"/>
        </w:numPr>
        <w:spacing w:after="0"/>
        <w:jc w:val="both"/>
      </w:pPr>
      <w:r w:rsidRPr="00D4754F">
        <w:t>aromata vyvolávají prospěšné metabolické změny, zlepšující zdraví, náladu nebo chování</w:t>
      </w:r>
    </w:p>
    <w:p w:rsidR="00CB4E73" w:rsidRPr="00D4754F" w:rsidRDefault="00CB4E73" w:rsidP="00D4754F">
      <w:pPr>
        <w:numPr>
          <w:ilvl w:val="0"/>
          <w:numId w:val="5"/>
        </w:numPr>
        <w:spacing w:after="0"/>
        <w:jc w:val="both"/>
      </w:pPr>
      <w:r w:rsidRPr="00D4754F">
        <w:t>zápach způsobuje nezdravé prostředí a neguje všechny stimuly i když jsou samostatně pozitivní, znemožňuje harmonii</w:t>
      </w:r>
    </w:p>
    <w:p w:rsidR="00CB4E73" w:rsidRDefault="00CB4E73" w:rsidP="00D4754F">
      <w:pPr>
        <w:numPr>
          <w:ilvl w:val="0"/>
          <w:numId w:val="5"/>
        </w:numPr>
        <w:spacing w:after="0"/>
        <w:jc w:val="both"/>
      </w:pPr>
      <w:r w:rsidRPr="00D4754F">
        <w:t>v příjemně provoněném prostředí se dokážeme lépe a bez stresu soustředit, dosahujeme rychleji cílů</w:t>
      </w:r>
    </w:p>
    <w:p w:rsidR="00CB4E73" w:rsidRDefault="00CB4E73" w:rsidP="0038079B">
      <w:pPr>
        <w:pStyle w:val="PlainText"/>
        <w:spacing w:line="276" w:lineRule="auto"/>
        <w:rPr>
          <w:rFonts w:ascii="Calibri" w:hAnsi="Calibri"/>
          <w:sz w:val="22"/>
          <w:szCs w:val="22"/>
        </w:rPr>
      </w:pPr>
    </w:p>
    <w:p w:rsidR="00CB4E73" w:rsidRPr="0038079B" w:rsidRDefault="00CB4E73" w:rsidP="0038079B">
      <w:pPr>
        <w:pStyle w:val="PlainText"/>
        <w:spacing w:line="276" w:lineRule="auto"/>
        <w:rPr>
          <w:rFonts w:ascii="Calibri" w:hAnsi="Calibri"/>
          <w:sz w:val="22"/>
          <w:szCs w:val="22"/>
        </w:rPr>
      </w:pPr>
      <w:r w:rsidRPr="0038079B">
        <w:rPr>
          <w:rFonts w:ascii="Calibri" w:hAnsi="Calibri"/>
          <w:sz w:val="22"/>
          <w:szCs w:val="22"/>
        </w:rPr>
        <w:t>V současné době neplatí žádný zákonný limit pro pachové látky (původní limit pro hranici pozemku na zdrojích byl 20 OUe/m</w:t>
      </w:r>
      <w:r w:rsidRPr="0038079B">
        <w:rPr>
          <w:rFonts w:ascii="Calibri" w:hAnsi="Calibri"/>
          <w:sz w:val="22"/>
          <w:szCs w:val="22"/>
          <w:vertAlign w:val="superscript"/>
        </w:rPr>
        <w:t>3</w:t>
      </w:r>
      <w:r w:rsidRPr="0038079B">
        <w:rPr>
          <w:rFonts w:ascii="Calibri" w:hAnsi="Calibri"/>
          <w:sz w:val="22"/>
          <w:szCs w:val="22"/>
        </w:rPr>
        <w:t xml:space="preserve"> uvnitř intravilánů obcí). Vnášení pachových látek není sice přípustné na úrovni, která způsobuje obtěžování, definice obtěžování není však přesně stanovena.</w:t>
      </w:r>
    </w:p>
    <w:p w:rsidR="00CB4E73" w:rsidRDefault="00CB4E73" w:rsidP="0038079B">
      <w:pPr>
        <w:pStyle w:val="PlainText"/>
        <w:spacing w:line="276" w:lineRule="auto"/>
        <w:rPr>
          <w:rFonts w:ascii="Calibri" w:hAnsi="Calibri"/>
          <w:sz w:val="22"/>
          <w:szCs w:val="22"/>
        </w:rPr>
      </w:pPr>
    </w:p>
    <w:p w:rsidR="00CB4E73" w:rsidRPr="0038079B" w:rsidRDefault="00CB4E73" w:rsidP="0038079B">
      <w:pPr>
        <w:pStyle w:val="PlainText"/>
        <w:spacing w:line="276" w:lineRule="auto"/>
        <w:rPr>
          <w:rFonts w:ascii="Calibri" w:hAnsi="Calibri"/>
          <w:sz w:val="22"/>
          <w:szCs w:val="22"/>
        </w:rPr>
      </w:pPr>
      <w:r w:rsidRPr="0038079B">
        <w:rPr>
          <w:rFonts w:ascii="Calibri" w:hAnsi="Calibri"/>
          <w:sz w:val="22"/>
          <w:szCs w:val="22"/>
        </w:rPr>
        <w:t>Pro popis naměřených koncentrací proto je nutné použít srovnání se známými fakty:</w:t>
      </w:r>
    </w:p>
    <w:p w:rsidR="00CB4E73" w:rsidRPr="0038079B" w:rsidRDefault="00CB4E73" w:rsidP="0038079B">
      <w:pPr>
        <w:pStyle w:val="PlainText"/>
        <w:spacing w:line="276" w:lineRule="auto"/>
        <w:rPr>
          <w:rFonts w:ascii="Calibri" w:hAnsi="Calibri"/>
          <w:sz w:val="22"/>
          <w:szCs w:val="22"/>
        </w:rPr>
      </w:pPr>
      <w:r w:rsidRPr="0038079B">
        <w:rPr>
          <w:rFonts w:ascii="Calibri" w:hAnsi="Calibri"/>
          <w:sz w:val="22"/>
          <w:szCs w:val="22"/>
        </w:rPr>
        <w:t>-</w:t>
      </w:r>
      <w:r w:rsidRPr="0038079B">
        <w:rPr>
          <w:rFonts w:ascii="Calibri" w:hAnsi="Calibri"/>
          <w:sz w:val="22"/>
          <w:szCs w:val="22"/>
        </w:rPr>
        <w:tab/>
        <w:t>běžná koncentrace v „čisté“ oblasti tzv. pozadí je 3-10 OUe/m</w:t>
      </w:r>
      <w:r w:rsidRPr="0038079B">
        <w:rPr>
          <w:rFonts w:ascii="Calibri" w:hAnsi="Calibri"/>
          <w:sz w:val="22"/>
          <w:szCs w:val="22"/>
          <w:vertAlign w:val="superscript"/>
        </w:rPr>
        <w:t>3</w:t>
      </w:r>
    </w:p>
    <w:p w:rsidR="00CB4E73" w:rsidRPr="0038079B" w:rsidRDefault="00CB4E73" w:rsidP="0038079B">
      <w:pPr>
        <w:pStyle w:val="PlainText"/>
        <w:spacing w:line="276" w:lineRule="auto"/>
        <w:ind w:left="705" w:hanging="705"/>
        <w:rPr>
          <w:rFonts w:ascii="Calibri" w:hAnsi="Calibri"/>
          <w:sz w:val="22"/>
          <w:szCs w:val="22"/>
        </w:rPr>
      </w:pPr>
      <w:r w:rsidRPr="0038079B">
        <w:rPr>
          <w:rFonts w:ascii="Calibri" w:hAnsi="Calibri"/>
          <w:sz w:val="22"/>
          <w:szCs w:val="22"/>
        </w:rPr>
        <w:t>-</w:t>
      </w:r>
      <w:r w:rsidRPr="0038079B">
        <w:rPr>
          <w:rFonts w:ascii="Calibri" w:hAnsi="Calibri"/>
          <w:sz w:val="22"/>
          <w:szCs w:val="22"/>
        </w:rPr>
        <w:tab/>
        <w:t xml:space="preserve">běžně měřené koncentrace na hranicích pozemku zdroje se u zemědělských zdrojů </w:t>
      </w:r>
      <w:r>
        <w:rPr>
          <w:rFonts w:ascii="Calibri" w:hAnsi="Calibri"/>
          <w:sz w:val="22"/>
          <w:szCs w:val="22"/>
        </w:rPr>
        <w:t xml:space="preserve">, ČOV </w:t>
      </w:r>
      <w:r w:rsidRPr="0038079B">
        <w:rPr>
          <w:rFonts w:ascii="Calibri" w:hAnsi="Calibri"/>
          <w:sz w:val="22"/>
          <w:szCs w:val="22"/>
        </w:rPr>
        <w:t xml:space="preserve">pohybují </w:t>
      </w:r>
      <w:r>
        <w:rPr>
          <w:rFonts w:ascii="Calibri" w:hAnsi="Calibri"/>
          <w:sz w:val="22"/>
          <w:szCs w:val="22"/>
        </w:rPr>
        <w:t>p</w:t>
      </w:r>
      <w:r w:rsidRPr="0038079B">
        <w:rPr>
          <w:rFonts w:ascii="Calibri" w:hAnsi="Calibri"/>
          <w:sz w:val="22"/>
          <w:szCs w:val="22"/>
        </w:rPr>
        <w:t>odle typu od 10 do 100 OUe/m</w:t>
      </w:r>
      <w:r w:rsidRPr="0038079B">
        <w:rPr>
          <w:rFonts w:ascii="Calibri" w:hAnsi="Calibri"/>
          <w:sz w:val="22"/>
          <w:szCs w:val="22"/>
          <w:vertAlign w:val="superscript"/>
        </w:rPr>
        <w:t>3</w:t>
      </w:r>
    </w:p>
    <w:p w:rsidR="00CB4E73" w:rsidRPr="0038079B" w:rsidRDefault="00CB4E73" w:rsidP="0038079B">
      <w:pPr>
        <w:pStyle w:val="PlainText"/>
        <w:spacing w:line="276" w:lineRule="auto"/>
        <w:rPr>
          <w:rFonts w:ascii="Calibri" w:hAnsi="Calibri"/>
          <w:sz w:val="22"/>
          <w:szCs w:val="22"/>
        </w:rPr>
      </w:pPr>
      <w:r w:rsidRPr="0038079B">
        <w:rPr>
          <w:rFonts w:ascii="Calibri" w:hAnsi="Calibri"/>
          <w:sz w:val="22"/>
          <w:szCs w:val="22"/>
        </w:rPr>
        <w:t>-</w:t>
      </w:r>
      <w:r w:rsidRPr="0038079B">
        <w:rPr>
          <w:rFonts w:ascii="Calibri" w:hAnsi="Calibri"/>
          <w:sz w:val="22"/>
          <w:szCs w:val="22"/>
        </w:rPr>
        <w:tab/>
        <w:t>zemědělské chovy na halách a ve stájích se pohybují od 100 do 1500 OUe/m</w:t>
      </w:r>
      <w:r w:rsidRPr="0038079B">
        <w:rPr>
          <w:rFonts w:ascii="Calibri" w:hAnsi="Calibri"/>
          <w:sz w:val="22"/>
          <w:szCs w:val="22"/>
          <w:vertAlign w:val="superscript"/>
        </w:rPr>
        <w:t>3</w:t>
      </w:r>
    </w:p>
    <w:p w:rsidR="00CB4E73" w:rsidRPr="0038079B" w:rsidRDefault="00CB4E73" w:rsidP="0038079B">
      <w:pPr>
        <w:pStyle w:val="PlainText"/>
        <w:spacing w:line="276" w:lineRule="auto"/>
        <w:rPr>
          <w:rFonts w:ascii="Calibri" w:hAnsi="Calibri"/>
          <w:sz w:val="22"/>
          <w:szCs w:val="22"/>
        </w:rPr>
      </w:pPr>
      <w:r w:rsidRPr="0038079B">
        <w:rPr>
          <w:rFonts w:ascii="Calibri" w:hAnsi="Calibri"/>
          <w:sz w:val="22"/>
          <w:szCs w:val="22"/>
        </w:rPr>
        <w:t>-</w:t>
      </w:r>
      <w:r w:rsidRPr="0038079B">
        <w:rPr>
          <w:rFonts w:ascii="Calibri" w:hAnsi="Calibri"/>
          <w:sz w:val="22"/>
          <w:szCs w:val="22"/>
        </w:rPr>
        <w:tab/>
        <w:t xml:space="preserve">koncentrace na průmyslových zdrojích jsou </w:t>
      </w:r>
      <w:r>
        <w:rPr>
          <w:rFonts w:ascii="Calibri" w:hAnsi="Calibri"/>
          <w:sz w:val="22"/>
          <w:szCs w:val="22"/>
        </w:rPr>
        <w:t xml:space="preserve">i </w:t>
      </w:r>
      <w:r w:rsidRPr="0038079B">
        <w:rPr>
          <w:rFonts w:ascii="Calibri" w:hAnsi="Calibri"/>
          <w:sz w:val="22"/>
          <w:szCs w:val="22"/>
        </w:rPr>
        <w:t>v desítkách tisíc OUe/m</w:t>
      </w:r>
      <w:r w:rsidRPr="0038079B">
        <w:rPr>
          <w:rFonts w:ascii="Calibri" w:hAnsi="Calibri"/>
          <w:sz w:val="22"/>
          <w:szCs w:val="22"/>
          <w:vertAlign w:val="superscript"/>
        </w:rPr>
        <w:t>3</w:t>
      </w:r>
    </w:p>
    <w:p w:rsidR="00CB4E73" w:rsidRDefault="00CB4E73" w:rsidP="0038079B">
      <w:pPr>
        <w:pStyle w:val="PlainText"/>
        <w:spacing w:line="276" w:lineRule="auto"/>
        <w:rPr>
          <w:rFonts w:ascii="Calibri" w:hAnsi="Calibri"/>
          <w:sz w:val="22"/>
          <w:szCs w:val="22"/>
        </w:rPr>
      </w:pPr>
    </w:p>
    <w:p w:rsidR="00CB4E73" w:rsidRPr="0038079B" w:rsidRDefault="00CB4E73" w:rsidP="0038079B">
      <w:pPr>
        <w:pStyle w:val="PlainText"/>
        <w:spacing w:line="276" w:lineRule="auto"/>
        <w:rPr>
          <w:rFonts w:ascii="Calibri" w:hAnsi="Calibri"/>
          <w:sz w:val="22"/>
          <w:szCs w:val="22"/>
        </w:rPr>
      </w:pPr>
      <w:r w:rsidRPr="0038079B">
        <w:rPr>
          <w:rFonts w:ascii="Calibri" w:hAnsi="Calibri"/>
          <w:sz w:val="22"/>
          <w:szCs w:val="22"/>
        </w:rPr>
        <w:t>Úroveň koncentrací pachových látek významně ovlivňuje rovněž počasí – teplota, vlhkost, srážky a vítr. Při vyšších teplotách, nízkém atmosférickém tlaku dochází k vyššímu uvolňování pachových látek, které jsou následně intenzivněji vnímány. Nejhorší je však inverzní charakter počasí.</w:t>
      </w:r>
    </w:p>
    <w:p w:rsidR="00CB4E73" w:rsidRPr="0038079B" w:rsidRDefault="00CB4E73" w:rsidP="0038079B">
      <w:pPr>
        <w:pStyle w:val="PlainText"/>
        <w:spacing w:line="276" w:lineRule="auto"/>
        <w:rPr>
          <w:rFonts w:ascii="Calibri" w:hAnsi="Calibri"/>
          <w:sz w:val="22"/>
          <w:szCs w:val="22"/>
        </w:rPr>
      </w:pPr>
    </w:p>
    <w:sectPr w:rsidR="00CB4E73" w:rsidRPr="0038079B" w:rsidSect="0026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BAE"/>
    <w:multiLevelType w:val="hybridMultilevel"/>
    <w:tmpl w:val="A588DD66"/>
    <w:lvl w:ilvl="0" w:tplc="4474A4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6BD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0BF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068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0C7E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02F4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67C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63B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E45C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34398"/>
    <w:multiLevelType w:val="hybridMultilevel"/>
    <w:tmpl w:val="A4F01ABA"/>
    <w:lvl w:ilvl="0" w:tplc="B42C7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E24C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7C2E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866E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743E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A5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489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4DD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872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81241F"/>
    <w:multiLevelType w:val="hybridMultilevel"/>
    <w:tmpl w:val="F03CB5A6"/>
    <w:lvl w:ilvl="0" w:tplc="57F6C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EF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426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C42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4E9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2C70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42E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A6AC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C47E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0C191D"/>
    <w:multiLevelType w:val="hybridMultilevel"/>
    <w:tmpl w:val="52CCD3B4"/>
    <w:lvl w:ilvl="0" w:tplc="2F02E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2D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06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05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8DD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66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433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2D5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A42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37B742F"/>
    <w:multiLevelType w:val="hybridMultilevel"/>
    <w:tmpl w:val="11CAEC1C"/>
    <w:lvl w:ilvl="0" w:tplc="76982B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2C0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8FF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CA0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C4C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E3F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C24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C71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08E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54F"/>
    <w:rsid w:val="00122EAB"/>
    <w:rsid w:val="00127D8F"/>
    <w:rsid w:val="001D28E8"/>
    <w:rsid w:val="0023773A"/>
    <w:rsid w:val="0026497A"/>
    <w:rsid w:val="0038079B"/>
    <w:rsid w:val="003A067C"/>
    <w:rsid w:val="003E2483"/>
    <w:rsid w:val="00573E8D"/>
    <w:rsid w:val="00700732"/>
    <w:rsid w:val="00832241"/>
    <w:rsid w:val="00894BF9"/>
    <w:rsid w:val="00CB4E73"/>
    <w:rsid w:val="00D4754F"/>
    <w:rsid w:val="00DD2893"/>
    <w:rsid w:val="00EB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754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3807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8079B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3E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059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06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065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07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05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06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06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06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991</Words>
  <Characters>5853</Characters>
  <Application>Microsoft Office Outlook</Application>
  <DocSecurity>0</DocSecurity>
  <Lines>0</Lines>
  <Paragraphs>0</Paragraphs>
  <ScaleCrop>false</ScaleCrop>
  <Company>Zdravotní ústav se sídlem v Ostravě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Pachové látky z lagun Ostramo</dc:title>
  <dc:subject/>
  <dc:creator>jiri.bilek</dc:creator>
  <cp:keywords/>
  <dc:description/>
  <cp:lastModifiedBy>valerianpa</cp:lastModifiedBy>
  <cp:revision>2</cp:revision>
  <dcterms:created xsi:type="dcterms:W3CDTF">2011-10-06T06:32:00Z</dcterms:created>
  <dcterms:modified xsi:type="dcterms:W3CDTF">2011-10-06T06:32:00Z</dcterms:modified>
</cp:coreProperties>
</file>